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pPr>
      <w:r>
        <w:rPr>
          <w:rFonts w:ascii="游ゴシック" w:cs="游ゴシック" w:eastAsia="游ゴシック" w:hAnsi="游ゴシック"/>
          <w:b/>
          <w:bCs/>
          <w:color w:val="2E75B6"/>
          <w:sz w:val="22"/>
          <w:szCs w:val="22"/>
        </w:rPr>
        <w:t xml:space="preserve">障がい福祉計画との関係</w:t>
      </w:r>
    </w:p>
    <w:p>
      <w:pPr>
        <w:spacing w:after="120" w:line="300"/>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により、65歳以上となって介護保険の被保険者となった方については、給付の内容が重なる部分について原則として介護保険制度が優先され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同計画の第7章（他計画との連携）は健康21・総合振興計画・こども計画の3計画を扱っています。本計画との連携の節は双方に置く必要があるため、障がい福祉担当との協議のうえ、両計画の記載を揃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pPr>
      <w:r>
        <w:rPr>
          <w:rFonts w:ascii="游ゴシック" w:cs="游ゴシック" w:eastAsia="游ゴシック" w:hAnsi="游ゴシック"/>
          <w:b/>
          <w:bCs/>
          <w:color w:val="2E75B6"/>
          <w:sz w:val="22"/>
          <w:szCs w:val="22"/>
        </w:rPr>
        <w:t xml:space="preserve">供給の継続性を把握する手だて</w:t>
      </w:r>
    </w:p>
    <w:p>
      <w:pPr>
        <w:spacing w:after="120" w:line="300"/>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村内3か所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の第7章（他計画との連携）は健康21・総合振興計画・こども計画の3計画を扱っています。本計画との連携の節を双方に置く必要があ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2026-10-10T10:35:27.063Z</dcterms:created>
  <dcterms:modified xsi:type="dcterms:W3CDTF">2026-10-10T10:35:27.070Z</dcterms:modified>
</cp:coreProperties>
</file>

<file path=docProps/custom.xml><?xml version="1.0" encoding="utf-8"?>
<Properties xmlns="http://schemas.openxmlformats.org/officeDocument/2006/custom-properties" xmlns:vt="http://schemas.openxmlformats.org/officeDocument/2006/docPropsVTypes"/>
</file>