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AF37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《Physically Based Rendering (PBRT)》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参考这本书和一些光线追踪的技术实现一个简单的光线追踪渲染器</w:t>
      </w:r>
    </w:p>
    <w:p w14:paraId="55317F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0F76A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本文的所有代码见ry-s-ray项目 https://github.com/ryryss/ry-s-ray</w:t>
      </w:r>
    </w:p>
    <w:p w14:paraId="07F97F9F">
      <w:pPr>
        <w:numPr>
          <w:numId w:val="0"/>
        </w:numPr>
        <w:rPr>
          <w:rFonts w:hint="eastAsia"/>
          <w:lang w:val="en-US" w:eastAsia="zh-CN"/>
        </w:rPr>
      </w:pPr>
    </w:p>
    <w:p w14:paraId="6BE271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模型读取</w:t>
      </w:r>
    </w:p>
    <w:p w14:paraId="558EF1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glb的结构网络上比比皆是，需要重点关注的是相机数据的提取</w:t>
      </w:r>
    </w:p>
    <w:p w14:paraId="014B4EA0">
      <w:pPr>
        <w:numPr>
          <w:numId w:val="0"/>
        </w:numPr>
        <w:rPr>
          <w:rFonts w:hint="eastAsia"/>
          <w:lang w:val="en-US" w:eastAsia="zh-CN"/>
        </w:rPr>
      </w:pPr>
    </w:p>
    <w:p w14:paraId="4B2562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项目使用了三种加速结构</w:t>
      </w:r>
    </w:p>
    <w:p w14:paraId="00F0B6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2.1自己写的任务化并行BVH树</w:t>
      </w:r>
    </w:p>
    <w:p w14:paraId="7E8A3C0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维护一些休眠的线程，在需要执行函数时，唤醒其执行传入的function</w:t>
      </w:r>
    </w:p>
    <w:p w14:paraId="019359F2">
      <w:pPr>
        <w:numPr>
          <w:numId w:val="0"/>
        </w:numPr>
        <w:rPr>
          <w:rFonts w:hint="default"/>
          <w:lang w:val="en-US" w:eastAsia="zh-CN"/>
        </w:rPr>
      </w:pPr>
    </w:p>
    <w:p w14:paraId="35AE8C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BVH树</w:t>
      </w:r>
    </w:p>
    <w:p w14:paraId="462A47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BVH应用于检测包围盒是否和光线相交，加快三角形求交检测</w:t>
      </w:r>
    </w:p>
    <w:p w14:paraId="3F5BC4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BVH最核心的是如何构造节点，有SAH方法和中值法</w:t>
      </w:r>
    </w:p>
    <w:p w14:paraId="2C017FCE">
      <w:pPr>
        <w:numPr>
          <w:numId w:val="0"/>
        </w:numPr>
        <w:rPr>
          <w:rFonts w:hint="default"/>
          <w:lang w:val="en-US" w:eastAsia="zh-CN"/>
        </w:rPr>
      </w:pPr>
    </w:p>
    <w:p w14:paraId="4C8A84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GPU加速</w:t>
      </w:r>
    </w:p>
    <w:p w14:paraId="360E156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目前(20260523)仅完成求交检测的代码，PBR渲染的GPU部分未完成</w:t>
      </w:r>
    </w:p>
    <w:p w14:paraId="497F8A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求交检测在未使用BVH树的情况下，已比cpu端快10倍</w:t>
      </w:r>
    </w:p>
    <w:p w14:paraId="206FF5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AD97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光线生成</w:t>
      </w:r>
    </w:p>
    <w:p w14:paraId="4F20A8C2">
      <w:pPr>
        <w:numPr>
          <w:numId w:val="0"/>
        </w:numPr>
        <w:rPr>
          <w:rFonts w:hint="eastAsia" w:ascii="新宋体" w:hAnsi="新宋体" w:eastAsia="新宋体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Geometric Method</w:t>
      </w: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和 </w:t>
      </w:r>
      <w:r>
        <w:rPr>
          <w:rFonts w:hint="eastAsia" w:ascii="新宋体" w:hAnsi="新宋体" w:eastAsia="新宋体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Inverse Projection Method</w:t>
      </w:r>
    </w:p>
    <w:p w14:paraId="5B695EA7">
      <w:pPr>
        <w:numPr>
          <w:numId w:val="0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  <w:t>前者更快 后者兼容传统渲染</w:t>
      </w:r>
    </w:p>
    <w:p w14:paraId="0F10ACCF">
      <w:pPr>
        <w:numPr>
          <w:numId w:val="0"/>
        </w:numPr>
        <w:rPr>
          <w:rFonts w:hint="eastAsia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478DA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光线强度和弹射流程 参考了 PBRT第三版的代码</w:t>
      </w:r>
    </w:p>
    <w:p w14:paraId="56FBEA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使用蒙特卡洛积分进行估计，beta是路径吞吐量，即命中点对光路的贡献</w:t>
      </w:r>
    </w:p>
    <w:p w14:paraId="2DB947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733800" cy="558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C7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Spectrum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Lo(0.);</w:t>
      </w:r>
    </w:p>
    <w:p w14:paraId="2C442E74">
      <w:pPr>
        <w:widowControl w:val="0"/>
        <w:numPr>
          <w:numId w:val="0"/>
        </w:numPr>
        <w:ind w:firstLine="380"/>
        <w:jc w:val="both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Spectrum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beta(1.f);</w:t>
      </w:r>
    </w:p>
    <w:p w14:paraId="2B74B1C2">
      <w:pPr>
        <w:widowControl w:val="0"/>
        <w:numPr>
          <w:numId w:val="0"/>
        </w:numPr>
        <w:ind w:firstLine="380"/>
        <w:jc w:val="both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for(bounce)</w:t>
      </w:r>
    </w:p>
    <w:p w14:paraId="6DCD27EB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Spectrum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 = isect.bsdf</w:t>
      </w:r>
      <w:r>
        <w:rPr>
          <w:rFonts w:hint="eastAsia" w:ascii="新宋体" w:hAnsi="新宋体" w:eastAsia="新宋体"/>
          <w:color w:val="008080"/>
          <w:sz w:val="19"/>
          <w:szCs w:val="24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>Sample_f(</w:t>
      </w:r>
      <w:r>
        <w:rPr>
          <w:rFonts w:hint="eastAsia" w:ascii="新宋体" w:hAnsi="新宋体" w:eastAsia="新宋体"/>
          <w:color w:val="008080"/>
          <w:sz w:val="19"/>
          <w:szCs w:val="24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</w:rPr>
        <w:t>ray.d, &amp;wi, s.Get2D(), &amp;pdf);</w:t>
      </w:r>
    </w:p>
    <w:p w14:paraId="78F83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float cos = glm::max(dot(n, wi), 0.f);</w:t>
      </w:r>
    </w:p>
    <w:p w14:paraId="3B0127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vec3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isect.normal;</w:t>
      </w:r>
    </w:p>
    <w:p w14:paraId="70C55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beta </w:t>
      </w:r>
      <w:r>
        <w:rPr>
          <w:rFonts w:hint="eastAsia" w:ascii="新宋体" w:hAnsi="新宋体" w:eastAsia="新宋体"/>
          <w:color w:val="008080"/>
          <w:sz w:val="19"/>
          <w:szCs w:val="24"/>
        </w:rPr>
        <w:t>*=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abs(dot(wi, n)) </w:t>
      </w:r>
      <w:r>
        <w:rPr>
          <w:rFonts w:hint="eastAsia" w:ascii="新宋体" w:hAnsi="新宋体" w:eastAsia="新宋体"/>
          <w:color w:val="008080"/>
          <w:sz w:val="19"/>
          <w:szCs w:val="24"/>
        </w:rPr>
        <w:t>/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pdf;</w:t>
      </w:r>
    </w:p>
    <w:p w14:paraId="17BC1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ray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</w:rPr>
        <w:t>{ isect.p , wi };</w:t>
      </w:r>
    </w:p>
    <w:p w14:paraId="65B06E4C">
      <w:pPr>
        <w:spacing w:beforeLines="0" w:afterLines="0"/>
        <w:ind w:firstLine="420" w:firstLineChar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end for</w:t>
      </w:r>
    </w:p>
    <w:p w14:paraId="1589A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具体见ry-s-ray的代码</w:t>
      </w:r>
    </w:p>
    <w:p w14:paraId="3868B67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F3AA99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镜面反射方案，目前只是直接返回全量内容</w:t>
      </w:r>
    </w:p>
    <w:p w14:paraId="464851A6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baseColorFactor 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emissiveStrength;</w:t>
      </w:r>
    </w:p>
    <w:p w14:paraId="30AC40EE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1624374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光源采样</w:t>
      </w:r>
    </w:p>
    <w:p w14:paraId="2C5F77B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实现了光源表面的点采样</w:t>
      </w:r>
    </w:p>
    <w:p w14:paraId="7DEA99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 = dist2 / (cosl * area)</w:t>
      </w:r>
    </w:p>
    <w:p w14:paraId="2E2C79AD">
      <w:pPr>
        <w:numPr>
          <w:numId w:val="0"/>
        </w:numPr>
        <w:rPr>
          <w:rFonts w:hint="default"/>
          <w:lang w:val="en-US" w:eastAsia="zh-CN"/>
        </w:rPr>
      </w:pPr>
    </w:p>
    <w:p w14:paraId="597F62D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BRDF</w:t>
      </w:r>
    </w:p>
    <w:p w14:paraId="397F3803">
      <w:pPr>
        <w:numPr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Bidirectional Reflectance Distribution Function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双向反射分布函数</w:t>
      </w:r>
    </w:p>
    <w:p w14:paraId="6963740C">
      <w:pPr>
        <w:numPr>
          <w:numId w:val="0"/>
        </w:numPr>
      </w:pPr>
      <w:r>
        <w:drawing>
          <wp:inline distT="0" distB="0" distL="114300" distR="114300">
            <wp:extent cx="1898650" cy="4000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723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以命中点法线构建局部坐标系，在局部半球上按 BSDF 分布采样新的入射方向，并返回该方向对应的 BSDF 值 f 与采样 pdf。</w:t>
      </w:r>
    </w:p>
    <w:p w14:paraId="398E2AEF">
      <w:pPr>
        <w:numPr>
          <w:numId w:val="0"/>
        </w:numPr>
        <w:rPr>
          <w:rFonts w:hint="default"/>
          <w:lang w:val="en-US" w:eastAsia="zh-CN"/>
        </w:rPr>
      </w:pPr>
    </w:p>
    <w:p w14:paraId="36CB25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透射暂不考虑</w:t>
      </w:r>
    </w:p>
    <w:p w14:paraId="08FFBC3D">
      <w:pPr>
        <w:numPr>
          <w:numId w:val="0"/>
        </w:numPr>
        <w:rPr>
          <w:rFonts w:hint="eastAsia"/>
          <w:lang w:val="en-US" w:eastAsia="zh-CN"/>
        </w:rPr>
      </w:pPr>
    </w:p>
    <w:p w14:paraId="0C4667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引入微表面之后更复杂了</w:t>
      </w:r>
    </w:p>
    <w:p w14:paraId="09144019">
      <w:pPr>
        <w:numPr>
          <w:numId w:val="0"/>
        </w:numPr>
      </w:pPr>
      <w:r>
        <w:drawing>
          <wp:inline distT="0" distB="0" distL="114300" distR="114300">
            <wp:extent cx="4330700" cy="1104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7F5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D是微表面法线分布函数NDF，主流使用GGX</w:t>
      </w:r>
    </w:p>
    <w:p w14:paraId="52C296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F是菲涅尔项</w:t>
      </w:r>
    </w:p>
    <w:p w14:paraId="7947C4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G是几何遮挡</w:t>
      </w:r>
    </w:p>
    <w:p w14:paraId="2127562A">
      <w:pPr>
        <w:numPr>
          <w:numId w:val="0"/>
        </w:numPr>
        <w:rPr>
          <w:rFonts w:hint="default"/>
          <w:lang w:val="en-US" w:eastAsia="zh-CN"/>
        </w:rPr>
      </w:pPr>
    </w:p>
    <w:p w14:paraId="501C8A57">
      <w:pPr>
        <w:numPr>
          <w:numId w:val="0"/>
        </w:numPr>
        <w:rPr>
          <w:rFonts w:hint="default"/>
          <w:lang w:val="en-US" w:eastAsia="zh-CN"/>
        </w:rPr>
      </w:pPr>
    </w:p>
    <w:p w14:paraId="47026B5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降噪</w:t>
      </w:r>
    </w:p>
    <w:p w14:paraId="439229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双边滤波、高斯滤波、时空域降噪</w:t>
      </w:r>
    </w:p>
    <w:p w14:paraId="5CBE81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双边滤波是各种复杂降噪算法的“母体”</w:t>
      </w:r>
    </w:p>
    <w:p w14:paraId="672C31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Edge-Avoiding À-Trous Wavelet Transform for fast Global Illumination Filtering(2010)</w:t>
      </w:r>
    </w:p>
    <w:p w14:paraId="39D919B1">
      <w:pPr>
        <w:numPr>
          <w:numId w:val="0"/>
        </w:numPr>
      </w:pPr>
      <w:r>
        <w:drawing>
          <wp:inline distT="0" distB="0" distL="114300" distR="114300">
            <wp:extent cx="2127250" cy="7302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5CBB">
      <w:pPr>
        <w:numPr>
          <w:numId w:val="0"/>
        </w:numPr>
      </w:pPr>
      <w:r>
        <w:drawing>
          <wp:inline distT="0" distB="0" distL="114300" distR="114300">
            <wp:extent cx="1822450" cy="3937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E1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颜色权重</w:t>
      </w:r>
    </w:p>
    <w:p w14:paraId="62506F03">
      <w:pPr>
        <w:numPr>
          <w:numId w:val="0"/>
        </w:numPr>
      </w:pPr>
      <w:r>
        <w:drawing>
          <wp:inline distT="0" distB="0" distL="114300" distR="114300">
            <wp:extent cx="1968500" cy="520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A40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法向权重</w:t>
      </w:r>
    </w:p>
    <w:p w14:paraId="5D436232">
      <w:pPr>
        <w:numPr>
          <w:numId w:val="0"/>
        </w:numPr>
      </w:pPr>
      <w:r>
        <w:drawing>
          <wp:inline distT="0" distB="0" distL="114300" distR="114300">
            <wp:extent cx="1981200" cy="7302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DF05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位置</w:t>
      </w:r>
    </w:p>
    <w:p w14:paraId="6E12F02C">
      <w:pPr>
        <w:numPr>
          <w:numId w:val="0"/>
        </w:numPr>
      </w:pPr>
      <w:r>
        <w:drawing>
          <wp:inline distT="0" distB="0" distL="114300" distR="114300">
            <wp:extent cx="1924050" cy="6604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FA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Albedo</w:t>
      </w:r>
    </w:p>
    <w:p w14:paraId="5DC9D1D1">
      <w:pPr>
        <w:numPr>
          <w:numId w:val="0"/>
        </w:numPr>
      </w:pPr>
      <w:r>
        <w:drawing>
          <wp:inline distT="0" distB="0" distL="114300" distR="114300">
            <wp:extent cx="2057400" cy="6413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1A33">
      <w:pPr>
        <w:numPr>
          <w:numId w:val="0"/>
        </w:numPr>
      </w:pPr>
    </w:p>
    <w:p w14:paraId="0A8B3357">
      <w:pPr>
        <w:numPr>
          <w:numId w:val="0"/>
        </w:numPr>
        <w:rPr>
          <w:rFonts w:hint="default"/>
          <w:lang w:val="en-US" w:eastAsia="zh-CN"/>
        </w:rPr>
      </w:pPr>
    </w:p>
    <w:p w14:paraId="70216D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时空域滤波</w:t>
      </w:r>
    </w:p>
    <w:p w14:paraId="14F00F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Spatiotemporal Variance-Guided Filtering: Real-Time</w:t>
      </w:r>
    </w:p>
    <w:p w14:paraId="6BD682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Reconstruction for Path - Traced Global Illumination</w:t>
      </w:r>
    </w:p>
    <w:p w14:paraId="30ECFE7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Spatiotemporal Variance-Guided Filtering: Real-Time Reconstruction for Path-Traced Global Illumination</w:t>
      </w:r>
    </w:p>
    <w:p w14:paraId="2279C8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https://cg.ivd.kit.edu/publications/2017/svgf/svgf_preprint.pdf</w:t>
      </w:r>
    </w:p>
    <w:p w14:paraId="073DBEA3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3B0058EF">
      <w:pPr>
        <w:numPr>
          <w:numId w:val="0"/>
        </w:numPr>
        <w:rPr>
          <w:rFonts w:hint="default"/>
          <w:lang w:val="en-US" w:eastAsia="zh-CN"/>
        </w:rPr>
      </w:pPr>
    </w:p>
    <w:p w14:paraId="66337E47">
      <w:pPr>
        <w:numPr>
          <w:numId w:val="0"/>
        </w:numPr>
        <w:rPr>
          <w:rFonts w:hint="default"/>
          <w:lang w:val="en-US" w:eastAsia="zh-CN"/>
        </w:rPr>
      </w:pPr>
    </w:p>
    <w:p w14:paraId="4B99C456">
      <w:pPr>
        <w:numPr>
          <w:numId w:val="0"/>
        </w:numPr>
        <w:rPr>
          <w:rFonts w:hint="default" w:ascii="新宋体" w:hAnsi="新宋体" w:eastAsia="新宋体"/>
          <w:color w:val="000000" w:themeColor="text1"/>
          <w:sz w:val="19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D2C5A0"/>
    <w:multiLevelType w:val="singleLevel"/>
    <w:tmpl w:val="F3D2C5A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1428ED"/>
    <w:rsid w:val="0186334B"/>
    <w:rsid w:val="05333EBB"/>
    <w:rsid w:val="05787E8E"/>
    <w:rsid w:val="06174FD5"/>
    <w:rsid w:val="06631ACD"/>
    <w:rsid w:val="10FF17E1"/>
    <w:rsid w:val="1417554F"/>
    <w:rsid w:val="146E27AA"/>
    <w:rsid w:val="154060CF"/>
    <w:rsid w:val="1734069D"/>
    <w:rsid w:val="18944BF4"/>
    <w:rsid w:val="1987645A"/>
    <w:rsid w:val="1A435993"/>
    <w:rsid w:val="1C9B3718"/>
    <w:rsid w:val="1CCA3BBE"/>
    <w:rsid w:val="1D185989"/>
    <w:rsid w:val="1D4A61EE"/>
    <w:rsid w:val="1E4166EA"/>
    <w:rsid w:val="1E7F2308"/>
    <w:rsid w:val="21417D79"/>
    <w:rsid w:val="2449692A"/>
    <w:rsid w:val="265C43E9"/>
    <w:rsid w:val="286167D0"/>
    <w:rsid w:val="2BC82183"/>
    <w:rsid w:val="2E560EE9"/>
    <w:rsid w:val="2E852C84"/>
    <w:rsid w:val="2F6D3564"/>
    <w:rsid w:val="2F866390"/>
    <w:rsid w:val="348249DE"/>
    <w:rsid w:val="3F8B03B7"/>
    <w:rsid w:val="3FEC2D10"/>
    <w:rsid w:val="40B641EB"/>
    <w:rsid w:val="42BA6AE5"/>
    <w:rsid w:val="458F01FC"/>
    <w:rsid w:val="466C6651"/>
    <w:rsid w:val="46B906BC"/>
    <w:rsid w:val="48BB1D99"/>
    <w:rsid w:val="49410D67"/>
    <w:rsid w:val="4B217F17"/>
    <w:rsid w:val="4DF17638"/>
    <w:rsid w:val="4E5B644D"/>
    <w:rsid w:val="53EB2894"/>
    <w:rsid w:val="54A17319"/>
    <w:rsid w:val="57AA5AD5"/>
    <w:rsid w:val="585C0EF7"/>
    <w:rsid w:val="586F29F6"/>
    <w:rsid w:val="5C0E3342"/>
    <w:rsid w:val="629A194B"/>
    <w:rsid w:val="63DF4E7A"/>
    <w:rsid w:val="67974430"/>
    <w:rsid w:val="6F96461F"/>
    <w:rsid w:val="75297C98"/>
    <w:rsid w:val="77F305DD"/>
    <w:rsid w:val="78320EC2"/>
    <w:rsid w:val="78F55CB8"/>
    <w:rsid w:val="7CE5652A"/>
    <w:rsid w:val="7D977FF2"/>
    <w:rsid w:val="7DA83FBE"/>
    <w:rsid w:val="7F34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2026-05-23T05:41:32Z</dcterms:created>
  <dc:creator>Administrator</dc:creator>
  <cp:lastModifiedBy>ry</cp:lastModifiedBy>
  <dcterms:modified xsi:type="dcterms:W3CDTF">2026-05-23T06:59:30Z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A892368EAE8D4D39BAB56CFB8BE5BBA3_12</vt:lpwstr>
  </property>
</Properties>
</file>