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F00C2EF"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bookmarkStart w:id="3" w:name="_Toc223592408"/>
      <w:bookmarkStart w:id="4" w:name="_Toc223624407"/>
      <w:bookmarkStart w:id="5" w:name="_Toc223687122"/>
      <w:bookmarkStart w:id="6" w:name="_Toc224400995"/>
      <w:r w:rsidRPr="00017A7C">
        <w:rPr>
          <w:b/>
          <w:bCs/>
          <w:color w:val="000000" w:themeColor="text1"/>
        </w:rPr>
        <w:t>Project</w:t>
      </w:r>
      <w:r w:rsidR="001417C8">
        <w:rPr>
          <w:b/>
          <w:bCs/>
          <w:color w:val="000000" w:themeColor="text1"/>
        </w:rPr>
        <w:t xml:space="preserve"> </w:t>
      </w:r>
      <w:r w:rsidR="004332CE">
        <w:rPr>
          <w:b/>
          <w:bCs/>
          <w:color w:val="000000" w:themeColor="text1"/>
        </w:rPr>
        <w:t>2</w:t>
      </w:r>
      <w:r w:rsidRPr="00017A7C">
        <w:rPr>
          <w:b/>
          <w:bCs/>
          <w:color w:val="000000" w:themeColor="text1"/>
        </w:rPr>
        <w:t>:</w:t>
      </w:r>
      <w:bookmarkEnd w:id="0"/>
      <w:bookmarkEnd w:id="1"/>
      <w:bookmarkEnd w:id="2"/>
      <w:bookmarkEnd w:id="3"/>
      <w:bookmarkEnd w:id="4"/>
      <w:bookmarkEnd w:id="5"/>
      <w:bookmarkEnd w:id="6"/>
    </w:p>
    <w:p w14:paraId="3013484F" w14:textId="6F57B05F" w:rsidR="00A65C67" w:rsidRPr="00017A7C" w:rsidRDefault="00D51D5D" w:rsidP="00A65C67">
      <w:pPr>
        <w:pStyle w:val="Heading2"/>
        <w:jc w:val="center"/>
        <w:rPr>
          <w:b/>
          <w:bCs/>
          <w:color w:val="000000" w:themeColor="text1"/>
        </w:rPr>
      </w:pPr>
      <w:bookmarkStart w:id="7" w:name="_Toc221895314"/>
      <w:bookmarkStart w:id="8" w:name="_Toc221895379"/>
      <w:bookmarkStart w:id="9" w:name="_Toc222223984"/>
      <w:bookmarkStart w:id="10" w:name="_Toc223592409"/>
      <w:bookmarkStart w:id="11" w:name="_Toc223624408"/>
      <w:bookmarkStart w:id="12" w:name="_Toc223687123"/>
      <w:bookmarkStart w:id="13" w:name="_Toc224400996"/>
      <w:r>
        <w:rPr>
          <w:b/>
          <w:bCs/>
          <w:color w:val="000000" w:themeColor="text1"/>
        </w:rPr>
        <w:t>Data Analysis Plan</w:t>
      </w:r>
      <w:bookmarkEnd w:id="7"/>
      <w:bookmarkEnd w:id="8"/>
      <w:bookmarkEnd w:id="9"/>
      <w:bookmarkEnd w:id="10"/>
      <w:bookmarkEnd w:id="11"/>
      <w:bookmarkEnd w:id="12"/>
      <w:bookmarkEnd w:id="13"/>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07FBFE77" w:rsidR="00A65C67" w:rsidRPr="00A65C67" w:rsidRDefault="00D51D5D" w:rsidP="00A65C67">
      <w:pPr>
        <w:contextualSpacing/>
        <w:jc w:val="center"/>
      </w:pPr>
      <w:r>
        <w:t>3</w:t>
      </w:r>
      <w:r w:rsidR="00A65C67">
        <w:t>/</w:t>
      </w:r>
      <w:r w:rsidR="00EC36B0">
        <w:t>11</w:t>
      </w:r>
      <w:r w:rsidR="00A65C67">
        <w:t>/26</w:t>
      </w:r>
    </w:p>
    <w:sdt>
      <w:sdtPr>
        <w:rPr>
          <w:rFonts w:asciiTheme="minorHAnsi" w:eastAsiaTheme="minorHAnsi" w:hAnsiTheme="minorHAnsi" w:cstheme="minorBidi"/>
          <w:b w:val="0"/>
          <w:bCs w:val="0"/>
          <w:color w:val="auto"/>
          <w:kern w:val="2"/>
          <w:sz w:val="24"/>
          <w:szCs w:val="24"/>
          <w14:ligatures w14:val="standardContextual"/>
        </w:rPr>
        <w:id w:val="1426148842"/>
        <w:docPartObj>
          <w:docPartGallery w:val="Table of Contents"/>
          <w:docPartUnique/>
        </w:docPartObj>
      </w:sdtPr>
      <w:sdtEndPr>
        <w:rPr>
          <w:noProof/>
        </w:rPr>
      </w:sdtEndPr>
      <w:sdtContent>
        <w:p w14:paraId="4634411B" w14:textId="77806BCB" w:rsidR="00E77C2A" w:rsidRPr="00E77C2A" w:rsidRDefault="005F4FB8" w:rsidP="00E77C2A">
          <w:pPr>
            <w:pStyle w:val="TOCHeading"/>
            <w:rPr>
              <w:noProof/>
              <w:sz w:val="24"/>
              <w:szCs w:val="24"/>
            </w:rPr>
          </w:pPr>
          <w:r w:rsidRPr="00E77C2A">
            <w:rPr>
              <w:sz w:val="24"/>
              <w:szCs w:val="24"/>
            </w:rPr>
            <w:t>Table of Contents</w:t>
          </w:r>
          <w:r>
            <w:rPr>
              <w:b w:val="0"/>
              <w:bCs w:val="0"/>
              <w:sz w:val="24"/>
              <w:szCs w:val="24"/>
            </w:rPr>
            <w:fldChar w:fldCharType="begin"/>
          </w:r>
          <w:r w:rsidRPr="00E77C2A">
            <w:rPr>
              <w:sz w:val="24"/>
              <w:szCs w:val="24"/>
            </w:rPr>
            <w:instrText xml:space="preserve"> TOC \o "1-3" \h \z \u </w:instrText>
          </w:r>
          <w:r>
            <w:rPr>
              <w:b w:val="0"/>
              <w:bCs w:val="0"/>
              <w:sz w:val="24"/>
              <w:szCs w:val="24"/>
            </w:rPr>
            <w:fldChar w:fldCharType="separate"/>
          </w:r>
          <w:hyperlink w:anchor="_Toc224400996" w:history="1"/>
        </w:p>
        <w:p w14:paraId="5DB272B0" w14:textId="0FBC7682" w:rsidR="00E77C2A" w:rsidRPr="00E77C2A" w:rsidRDefault="00E77C2A" w:rsidP="00E77C2A">
          <w:pPr>
            <w:pStyle w:val="TOC3"/>
            <w:rPr>
              <w:rFonts w:eastAsiaTheme="minorEastAsia"/>
              <w:sz w:val="24"/>
              <w:szCs w:val="24"/>
            </w:rPr>
          </w:pPr>
          <w:hyperlink w:anchor="_Toc224400997" w:history="1">
            <w:r w:rsidRPr="00E77C2A">
              <w:rPr>
                <w:rStyle w:val="Hyperlink"/>
              </w:rPr>
              <w:t>Data Management and Cleaning</w:t>
            </w:r>
            <w:r w:rsidRPr="00E77C2A">
              <w:rPr>
                <w:webHidden/>
              </w:rPr>
              <w:tab/>
            </w:r>
            <w:r w:rsidRPr="00E77C2A">
              <w:rPr>
                <w:webHidden/>
              </w:rPr>
              <w:fldChar w:fldCharType="begin"/>
            </w:r>
            <w:r w:rsidRPr="00E77C2A">
              <w:rPr>
                <w:webHidden/>
              </w:rPr>
              <w:instrText xml:space="preserve"> PAGEREF _Toc224400997 \h </w:instrText>
            </w:r>
            <w:r w:rsidRPr="00E77C2A">
              <w:rPr>
                <w:webHidden/>
              </w:rPr>
            </w:r>
            <w:r w:rsidRPr="00E77C2A">
              <w:rPr>
                <w:webHidden/>
              </w:rPr>
              <w:fldChar w:fldCharType="separate"/>
            </w:r>
            <w:r w:rsidRPr="00E77C2A">
              <w:rPr>
                <w:webHidden/>
              </w:rPr>
              <w:t>2</w:t>
            </w:r>
            <w:r w:rsidRPr="00E77C2A">
              <w:rPr>
                <w:webHidden/>
              </w:rPr>
              <w:fldChar w:fldCharType="end"/>
            </w:r>
          </w:hyperlink>
        </w:p>
        <w:p w14:paraId="21E6A786" w14:textId="46FADD85" w:rsidR="00E77C2A" w:rsidRPr="00E77C2A" w:rsidRDefault="00E77C2A" w:rsidP="00E77C2A">
          <w:pPr>
            <w:pStyle w:val="TOC3"/>
            <w:rPr>
              <w:rFonts w:eastAsiaTheme="minorEastAsia"/>
              <w:sz w:val="24"/>
              <w:szCs w:val="24"/>
            </w:rPr>
          </w:pPr>
          <w:hyperlink w:anchor="_Toc224400998" w:history="1">
            <w:r w:rsidRPr="00E77C2A">
              <w:rPr>
                <w:rStyle w:val="Hyperlink"/>
              </w:rPr>
              <w:t>General Analytical Framework</w:t>
            </w:r>
            <w:r w:rsidRPr="00E77C2A">
              <w:rPr>
                <w:webHidden/>
              </w:rPr>
              <w:tab/>
            </w:r>
            <w:r w:rsidRPr="00E77C2A">
              <w:rPr>
                <w:webHidden/>
              </w:rPr>
              <w:fldChar w:fldCharType="begin"/>
            </w:r>
            <w:r w:rsidRPr="00E77C2A">
              <w:rPr>
                <w:webHidden/>
              </w:rPr>
              <w:instrText xml:space="preserve"> PAGEREF _Toc224400998 \h </w:instrText>
            </w:r>
            <w:r w:rsidRPr="00E77C2A">
              <w:rPr>
                <w:webHidden/>
              </w:rPr>
            </w:r>
            <w:r w:rsidRPr="00E77C2A">
              <w:rPr>
                <w:webHidden/>
              </w:rPr>
              <w:fldChar w:fldCharType="separate"/>
            </w:r>
            <w:r w:rsidRPr="00E77C2A">
              <w:rPr>
                <w:webHidden/>
              </w:rPr>
              <w:t>2</w:t>
            </w:r>
            <w:r w:rsidRPr="00E77C2A">
              <w:rPr>
                <w:webHidden/>
              </w:rPr>
              <w:fldChar w:fldCharType="end"/>
            </w:r>
          </w:hyperlink>
        </w:p>
        <w:p w14:paraId="28B59480" w14:textId="285E6B19" w:rsidR="00E77C2A" w:rsidRPr="00E77C2A" w:rsidRDefault="00E77C2A" w:rsidP="00E77C2A">
          <w:pPr>
            <w:pStyle w:val="TOC3"/>
            <w:rPr>
              <w:rFonts w:eastAsiaTheme="minorEastAsia"/>
              <w:sz w:val="24"/>
              <w:szCs w:val="24"/>
            </w:rPr>
          </w:pPr>
          <w:hyperlink w:anchor="_Toc224400999" w:history="1">
            <w:r w:rsidRPr="00E77C2A">
              <w:rPr>
                <w:rStyle w:val="Hyperlink"/>
              </w:rPr>
              <w:t>Details of the Analyses</w:t>
            </w:r>
            <w:r w:rsidRPr="00E77C2A">
              <w:rPr>
                <w:webHidden/>
              </w:rPr>
              <w:tab/>
            </w:r>
            <w:r w:rsidRPr="00E77C2A">
              <w:rPr>
                <w:webHidden/>
              </w:rPr>
              <w:fldChar w:fldCharType="begin"/>
            </w:r>
            <w:r w:rsidRPr="00E77C2A">
              <w:rPr>
                <w:webHidden/>
              </w:rPr>
              <w:instrText xml:space="preserve"> PAGEREF _Toc224400999 \h </w:instrText>
            </w:r>
            <w:r w:rsidRPr="00E77C2A">
              <w:rPr>
                <w:webHidden/>
              </w:rPr>
            </w:r>
            <w:r w:rsidRPr="00E77C2A">
              <w:rPr>
                <w:webHidden/>
              </w:rPr>
              <w:fldChar w:fldCharType="separate"/>
            </w:r>
            <w:r w:rsidRPr="00E77C2A">
              <w:rPr>
                <w:webHidden/>
              </w:rPr>
              <w:t>2</w:t>
            </w:r>
            <w:r w:rsidRPr="00E77C2A">
              <w:rPr>
                <w:webHidden/>
              </w:rPr>
              <w:fldChar w:fldCharType="end"/>
            </w:r>
          </w:hyperlink>
        </w:p>
        <w:p w14:paraId="590EBDA7" w14:textId="229DADC5" w:rsidR="00E77C2A" w:rsidRPr="00E77C2A" w:rsidRDefault="00E77C2A" w:rsidP="00E77C2A">
          <w:pPr>
            <w:pStyle w:val="TOC3"/>
            <w:rPr>
              <w:rFonts w:eastAsiaTheme="minorEastAsia"/>
              <w:sz w:val="24"/>
              <w:szCs w:val="24"/>
            </w:rPr>
          </w:pPr>
          <w:hyperlink w:anchor="_Toc224401000" w:history="1">
            <w:r w:rsidRPr="00E77C2A">
              <w:rPr>
                <w:rStyle w:val="Hyperlink"/>
              </w:rPr>
              <w:t>Power Analysis</w:t>
            </w:r>
            <w:r w:rsidRPr="00E77C2A">
              <w:rPr>
                <w:webHidden/>
              </w:rPr>
              <w:tab/>
            </w:r>
            <w:r w:rsidRPr="00E77C2A">
              <w:rPr>
                <w:webHidden/>
              </w:rPr>
              <w:fldChar w:fldCharType="begin"/>
            </w:r>
            <w:r w:rsidRPr="00E77C2A">
              <w:rPr>
                <w:webHidden/>
              </w:rPr>
              <w:instrText xml:space="preserve"> PAGEREF _Toc224401000 \h </w:instrText>
            </w:r>
            <w:r w:rsidRPr="00E77C2A">
              <w:rPr>
                <w:webHidden/>
              </w:rPr>
            </w:r>
            <w:r w:rsidRPr="00E77C2A">
              <w:rPr>
                <w:webHidden/>
              </w:rPr>
              <w:fldChar w:fldCharType="separate"/>
            </w:r>
            <w:r w:rsidRPr="00E77C2A">
              <w:rPr>
                <w:webHidden/>
              </w:rPr>
              <w:t>4</w:t>
            </w:r>
            <w:r w:rsidRPr="00E77C2A">
              <w:rPr>
                <w:webHidden/>
              </w:rPr>
              <w:fldChar w:fldCharType="end"/>
            </w:r>
          </w:hyperlink>
        </w:p>
        <w:p w14:paraId="06C0836E" w14:textId="5A921A8C" w:rsidR="005F4FB8" w:rsidRDefault="005F4FB8">
          <w:r>
            <w:rPr>
              <w:b/>
              <w:bCs/>
              <w:noProof/>
            </w:rPr>
            <w:fldChar w:fldCharType="end"/>
          </w:r>
        </w:p>
      </w:sdtContent>
    </w:sdt>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0CC11BC3" w14:textId="0D859D41" w:rsidR="00A42BEE" w:rsidRPr="0038582D" w:rsidRDefault="00A42BEE" w:rsidP="006525B3">
      <w:pPr>
        <w:pStyle w:val="Heading2"/>
        <w:rPr>
          <w:i/>
          <w:iCs/>
          <w:sz w:val="21"/>
          <w:szCs w:val="21"/>
        </w:rPr>
      </w:pPr>
    </w:p>
    <w:p w14:paraId="6632E6FF" w14:textId="77777777" w:rsidR="00A42BEE" w:rsidRDefault="00A42BEE" w:rsidP="00492400">
      <w:pPr>
        <w:jc w:val="center"/>
        <w:rPr>
          <w:color w:val="000000" w:themeColor="text1"/>
        </w:rPr>
      </w:pPr>
    </w:p>
    <w:p w14:paraId="2BEB803F" w14:textId="77777777" w:rsidR="006525B3" w:rsidRDefault="006525B3" w:rsidP="00492400">
      <w:pPr>
        <w:jc w:val="center"/>
        <w:rPr>
          <w:color w:val="000000" w:themeColor="text1"/>
        </w:rPr>
      </w:pPr>
    </w:p>
    <w:p w14:paraId="179FD609" w14:textId="77777777" w:rsidR="006525B3" w:rsidRDefault="006525B3" w:rsidP="00492400">
      <w:pPr>
        <w:jc w:val="center"/>
        <w:rPr>
          <w:color w:val="000000" w:themeColor="text1"/>
        </w:rPr>
      </w:pPr>
    </w:p>
    <w:p w14:paraId="3BDF3AB0" w14:textId="77777777" w:rsidR="006525B3" w:rsidRDefault="006525B3" w:rsidP="00492400">
      <w:pPr>
        <w:jc w:val="center"/>
        <w:rPr>
          <w:color w:val="000000" w:themeColor="text1"/>
        </w:rPr>
      </w:pPr>
    </w:p>
    <w:p w14:paraId="62D6ED5E" w14:textId="77777777" w:rsidR="006525B3" w:rsidRDefault="006525B3" w:rsidP="00492400">
      <w:pPr>
        <w:jc w:val="center"/>
        <w:rPr>
          <w:color w:val="000000" w:themeColor="text1"/>
        </w:rPr>
      </w:pPr>
    </w:p>
    <w:p w14:paraId="0E796039" w14:textId="77777777" w:rsidR="006525B3" w:rsidRDefault="006525B3" w:rsidP="00492400">
      <w:pPr>
        <w:jc w:val="center"/>
        <w:rPr>
          <w:color w:val="000000" w:themeColor="text1"/>
        </w:rPr>
      </w:pPr>
    </w:p>
    <w:p w14:paraId="334B35D1" w14:textId="77777777" w:rsidR="006525B3" w:rsidRDefault="006525B3" w:rsidP="00492400">
      <w:pPr>
        <w:jc w:val="center"/>
        <w:rPr>
          <w:color w:val="000000" w:themeColor="text1"/>
        </w:rPr>
      </w:pPr>
    </w:p>
    <w:p w14:paraId="5E275E7A" w14:textId="77777777" w:rsidR="00554F96" w:rsidRDefault="00554F96" w:rsidP="00554F96"/>
    <w:p w14:paraId="6BAE361B" w14:textId="77777777" w:rsidR="00CA545F" w:rsidRDefault="00CA545F" w:rsidP="00554F96"/>
    <w:p w14:paraId="678576AF" w14:textId="77777777" w:rsidR="00CA545F" w:rsidRDefault="00CA545F" w:rsidP="00554F96"/>
    <w:p w14:paraId="079BA55B" w14:textId="77B7C751" w:rsidR="00CA545F" w:rsidRDefault="00CA545F" w:rsidP="00153B3A">
      <w:pPr>
        <w:pStyle w:val="Heading3"/>
      </w:pPr>
      <w:bookmarkStart w:id="14" w:name="_Toc224400997"/>
      <w:r>
        <w:lastRenderedPageBreak/>
        <w:t xml:space="preserve">Data </w:t>
      </w:r>
      <w:r w:rsidR="00997B0F">
        <w:t>Management and Cleaning</w:t>
      </w:r>
      <w:bookmarkEnd w:id="14"/>
    </w:p>
    <w:p w14:paraId="59F1FF23" w14:textId="08BD4CDF" w:rsidR="00CA545F" w:rsidRDefault="009D24B3" w:rsidP="00A26C3A">
      <w:pPr>
        <w:spacing w:line="480" w:lineRule="auto"/>
      </w:pPr>
      <w:r w:rsidRPr="009D24B3">
        <w:t>Data will be collected from a study conducted at the Rocky Mountain Alzheimer’s Disease Center (RMADC) at the University of Colorado Anschutz Medical Campus and will include demographic and clinical variables, plasma inflammatory markers, cognitive assessments, structural neuroimaging, and amyloid PET measures collected at baseline and one-year follow-up</w:t>
      </w:r>
      <w:r w:rsidR="00CA545F">
        <w:t xml:space="preserve">. </w:t>
      </w:r>
    </w:p>
    <w:p w14:paraId="21D64574" w14:textId="4CBCF4FB" w:rsidR="00332A65" w:rsidRDefault="003D2015" w:rsidP="00A26C3A">
      <w:pPr>
        <w:spacing w:line="480" w:lineRule="auto"/>
      </w:pPr>
      <w:r w:rsidRPr="003D2015">
        <w:t>Continuous outcomes will be evaluated for outliers, missingness, and distributional assumptions using graphical summaries and descriptive statistics, with transformations applied if needed. Participants excluded due to missing exposures or outcomes will be compared with the full cohort to evaluate potential bias.</w:t>
      </w:r>
      <w:r w:rsidR="00204855">
        <w:t xml:space="preserve"> </w:t>
      </w:r>
      <w:r w:rsidR="00877B52" w:rsidRPr="00877B52">
        <w:t>Sensitivity analyses will assess whether results differ between the full dataset and the analytic subset.</w:t>
      </w:r>
    </w:p>
    <w:p w14:paraId="53B33BA4" w14:textId="3F620829" w:rsidR="003B2E44" w:rsidRDefault="00F318D2" w:rsidP="00153B3A">
      <w:pPr>
        <w:pStyle w:val="Heading3"/>
      </w:pPr>
      <w:bookmarkStart w:id="15" w:name="_Toc224400998"/>
      <w:r>
        <w:t>General Analytical Framework</w:t>
      </w:r>
      <w:bookmarkEnd w:id="15"/>
    </w:p>
    <w:p w14:paraId="65F59A3F" w14:textId="04447A7A" w:rsidR="00BB7AFB" w:rsidRPr="00BC3DD3" w:rsidRDefault="00BB7AFB" w:rsidP="00A26C3A">
      <w:pPr>
        <w:spacing w:line="480" w:lineRule="auto"/>
      </w:pPr>
      <w:r w:rsidRPr="00BB7AFB">
        <w:t>Linear regression models will be used to estimate associations between inflammatory markers and one-year changes in cognitive performance and AD-signature cortical thickness, allowing adjustment for covariates and testing of interaction effects.</w:t>
      </w:r>
    </w:p>
    <w:p w14:paraId="1E36B114" w14:textId="77777777" w:rsidR="00BC3DD3" w:rsidRPr="00BC3DD3" w:rsidRDefault="00BC3DD3" w:rsidP="00A26C3A">
      <w:pPr>
        <w:spacing w:line="480" w:lineRule="auto"/>
      </w:pPr>
      <w:r w:rsidRPr="00BC3DD3">
        <w:t>Because preliminary analyses indicated weak correlation between the cognitive and cortical thickness outcomes, models will be estimated separately for each outcome.</w:t>
      </w:r>
    </w:p>
    <w:p w14:paraId="0763A5F9" w14:textId="57DCBF2D" w:rsidR="00BC3DD3" w:rsidRPr="00BC3DD3" w:rsidRDefault="00BC3DD3" w:rsidP="00A26C3A">
      <w:pPr>
        <w:spacing w:line="480" w:lineRule="auto"/>
      </w:pPr>
      <w:r w:rsidRPr="00BC3DD3">
        <w:t>Statistical significance will be assessed using two-sided tests with a Bonferroni</w:t>
      </w:r>
      <w:r w:rsidR="00AC1F57">
        <w:t xml:space="preserve"> style</w:t>
      </w:r>
      <w:r w:rsidRPr="00BC3DD3">
        <w:t>-adjusted significance level of α = 0.005 within each hypothesis family.</w:t>
      </w:r>
    </w:p>
    <w:p w14:paraId="35F17004" w14:textId="2865AAD2" w:rsidR="00BC3DD3" w:rsidRPr="00787F20" w:rsidRDefault="00BC3DD3" w:rsidP="00A26C3A">
      <w:pPr>
        <w:spacing w:line="480" w:lineRule="auto"/>
      </w:pPr>
      <w:r w:rsidRPr="00BC3DD3">
        <w:lastRenderedPageBreak/>
        <w:t>Because inflammatory markers and outcomes are expected to be correlated, results will be summarized by evaluating consistency in effect size and direction across related markers and outcomes rather than relying on isolated statistically significant findings.</w:t>
      </w:r>
    </w:p>
    <w:p w14:paraId="423846C3" w14:textId="345725DC" w:rsidR="00F930AF" w:rsidRDefault="00B82BDB" w:rsidP="009A0AA1">
      <w:pPr>
        <w:pStyle w:val="Heading3"/>
      </w:pPr>
      <w:bookmarkStart w:id="16" w:name="_Toc224400999"/>
      <w:r>
        <w:t>Details of the Analyses</w:t>
      </w:r>
      <w:bookmarkEnd w:id="16"/>
    </w:p>
    <w:p w14:paraId="7B1DBA39" w14:textId="77777777" w:rsidR="00E356F8" w:rsidRPr="00E356F8" w:rsidRDefault="00E356F8" w:rsidP="00A26C3A">
      <w:pPr>
        <w:spacing w:line="480" w:lineRule="auto"/>
      </w:pPr>
      <w:bookmarkStart w:id="17" w:name="_Toc224401000"/>
      <w:r w:rsidRPr="00E356F8">
        <w:t>Primary outcomes are one-year changes in cognitive performance and AD-signature cortical thickness (five outcomes total), with higher values indicating worsening cognition or cortical thinning.</w:t>
      </w:r>
    </w:p>
    <w:p w14:paraId="035D35B8" w14:textId="30E6F864" w:rsidR="00332A65" w:rsidRPr="00332A65" w:rsidRDefault="00332A65" w:rsidP="00A26C3A">
      <w:pPr>
        <w:spacing w:line="480" w:lineRule="auto"/>
      </w:pPr>
      <w:r w:rsidRPr="00332A65">
        <w:t>Primary exposures include circulating inflammatory markers measured in plasma at baseline and at one-year follow-up. All models will adjust for age, sex, APOE genotype, baseline Clinical Dementia Rating (CDR), and baseline outcome value. Additional health-related variables associated with inflammatory processes (e.g., BMI, cardiovascular risk factors, NSAID use, immune-related health conditions) will be evaluated as potential confounders in sensitivity analyses.</w:t>
      </w:r>
    </w:p>
    <w:p w14:paraId="4C21E7B8" w14:textId="5072956D" w:rsidR="005F2001" w:rsidRPr="00332A65" w:rsidRDefault="005F2001" w:rsidP="00A26C3A">
      <w:pPr>
        <w:spacing w:line="480" w:lineRule="auto"/>
      </w:pPr>
      <w:r w:rsidRPr="005F2001">
        <w:t>For Hypothesis H1a, linear regression models will evaluate associations between baseline inflammatory markers and one-year outcome changes. For Hypothesis H1b, models will evaluate whether one-year changes in inflammatory markers are associated with outcome changes.</w:t>
      </w:r>
    </w:p>
    <w:p w14:paraId="7DE7E390" w14:textId="6A1B13A5" w:rsidR="009606B3" w:rsidRPr="00332A65" w:rsidRDefault="009606B3" w:rsidP="00A26C3A">
      <w:pPr>
        <w:spacing w:line="480" w:lineRule="auto"/>
      </w:pPr>
      <w:r w:rsidRPr="009606B3">
        <w:t xml:space="preserve">For Aim 2, models will extend Aim 1 by including amyloid deposition and an inflammation </w:t>
      </w:r>
      <w:r>
        <w:t>x</w:t>
      </w:r>
      <w:r w:rsidRPr="009606B3">
        <w:t xml:space="preserve"> amyloid interaction term to assess whether amyloid modifies the association between inflammation and the outcomes.</w:t>
      </w:r>
    </w:p>
    <w:p w14:paraId="07388FF3" w14:textId="77777777" w:rsidR="005843B1" w:rsidRDefault="00332A65" w:rsidP="00A26C3A">
      <w:pPr>
        <w:spacing w:line="480" w:lineRule="auto"/>
        <w:rPr>
          <w:noProof/>
        </w:rPr>
      </w:pPr>
      <w:r w:rsidRPr="00332A65">
        <w:lastRenderedPageBreak/>
        <w:t>Amyloid deposition will be dichotomized using an SUVR threshold of 1.10, which demonstrated 97% sensitivity and 100% specificity for amyloid positivity</w:t>
      </w:r>
      <w:r w:rsidR="003B1C7B">
        <w:t xml:space="preserve"> in previous analyses</w:t>
      </w:r>
      <w:r w:rsidRPr="00332A65">
        <w:t>. An indicator variable will therefore be coded as binary (low vs high amyloid).</w:t>
      </w:r>
      <w:r w:rsidR="00531109" w:rsidRPr="00531109">
        <w:rPr>
          <w:noProof/>
        </w:rPr>
        <w:t xml:space="preserve"> </w:t>
      </w:r>
    </w:p>
    <w:p w14:paraId="03BD332B" w14:textId="1D55FF87" w:rsidR="00332A65" w:rsidRPr="00332A65" w:rsidRDefault="00531109" w:rsidP="00332A65">
      <w:r w:rsidRPr="00063137">
        <w:rPr>
          <w:noProof/>
        </w:rPr>
        <w:drawing>
          <wp:inline distT="0" distB="0" distL="0" distR="0" wp14:anchorId="5D0A93BF" wp14:editId="565D8071">
            <wp:extent cx="5943600" cy="1979295"/>
            <wp:effectExtent l="0" t="0" r="0" b="1905"/>
            <wp:docPr id="1798628141" name="Picture 1" descr="A screenshot of a medical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28141" name="Picture 1" descr="A screenshot of a medical report&#10;&#10;AI-generated content may be incorrect."/>
                    <pic:cNvPicPr/>
                  </pic:nvPicPr>
                  <pic:blipFill>
                    <a:blip r:embed="rId6"/>
                    <a:stretch>
                      <a:fillRect/>
                    </a:stretch>
                  </pic:blipFill>
                  <pic:spPr>
                    <a:xfrm>
                      <a:off x="0" y="0"/>
                      <a:ext cx="5943600" cy="1979295"/>
                    </a:xfrm>
                    <a:prstGeom prst="rect">
                      <a:avLst/>
                    </a:prstGeom>
                  </pic:spPr>
                </pic:pic>
              </a:graphicData>
            </a:graphic>
          </wp:inline>
        </w:drawing>
      </w:r>
    </w:p>
    <w:p w14:paraId="30151BBF" w14:textId="545BFE60" w:rsidR="004A2164" w:rsidRDefault="004A2164" w:rsidP="00D10408">
      <w:pPr>
        <w:pStyle w:val="Heading3"/>
      </w:pPr>
      <w:r>
        <w:t>Power Analysis</w:t>
      </w:r>
      <w:bookmarkEnd w:id="17"/>
    </w:p>
    <w:p w14:paraId="403672C3" w14:textId="4EC770EC" w:rsidR="00482E5B" w:rsidRDefault="00E356F8" w:rsidP="00A26C3A">
      <w:pPr>
        <w:spacing w:before="100" w:beforeAutospacing="1" w:after="100" w:afterAutospacing="1" w:line="480" w:lineRule="auto"/>
      </w:pPr>
      <w:r w:rsidRPr="00E356F8">
        <w:t xml:space="preserve">Power calculations were conducted assuming a final analytic sample size of N = 175. </w:t>
      </w:r>
    </w:p>
    <w:p w14:paraId="1FE483C5" w14:textId="61DF08DA" w:rsidR="00E356F8" w:rsidRPr="00E356F8" w:rsidRDefault="00E356F8" w:rsidP="00A26C3A">
      <w:pPr>
        <w:spacing w:before="100" w:beforeAutospacing="1" w:after="100" w:afterAutospacing="1" w:line="480" w:lineRule="auto"/>
      </w:pPr>
      <w:r w:rsidRPr="00E356F8">
        <w:t xml:space="preserve">Because inflammatory markers are classified into two biologically related </w:t>
      </w:r>
      <w:r w:rsidR="009B69F7">
        <w:t>groupings</w:t>
      </w:r>
      <w:r w:rsidRPr="00E356F8">
        <w:t xml:space="preserve"> (cytokines and chemokines), and preliminary data indicated strong correlation between representative markers (IL-6 and MCP-1; ρ = 0.93, 95% CI: 0.86–0.97), analyses were treated as evaluating two correlated </w:t>
      </w:r>
      <w:r w:rsidR="009B69F7">
        <w:t>group</w:t>
      </w:r>
      <w:r w:rsidR="00DA56E8">
        <w:t>s</w:t>
      </w:r>
      <w:r w:rsidRPr="00E356F8">
        <w:t xml:space="preserve"> rather than four independent predictors.</w:t>
      </w:r>
    </w:p>
    <w:p w14:paraId="3E6994B7" w14:textId="7D257135" w:rsidR="00E356F8" w:rsidRDefault="00E356F8" w:rsidP="00A26C3A">
      <w:pPr>
        <w:spacing w:before="100" w:beforeAutospacing="1" w:after="100" w:afterAutospacing="1" w:line="480" w:lineRule="auto"/>
      </w:pPr>
      <w:r w:rsidRPr="00E356F8">
        <w:t xml:space="preserve">Accordingly, </w:t>
      </w:r>
      <w:r w:rsidR="00BB1C29">
        <w:t>multiple testing</w:t>
      </w:r>
      <w:r w:rsidRPr="00E356F8">
        <w:t xml:space="preserve"> within each hypothesis was defined across five outcomes and </w:t>
      </w:r>
      <w:r w:rsidR="00BB1C29">
        <w:t>the two</w:t>
      </w:r>
      <w:r w:rsidRPr="00E356F8">
        <w:t xml:space="preserve"> inflammatory </w:t>
      </w:r>
      <w:r w:rsidR="00BB1C29">
        <w:t>groups</w:t>
      </w:r>
      <w:r w:rsidRPr="00E356F8">
        <w:t xml:space="preserve"> (</w:t>
      </w:r>
      <w:r w:rsidR="00BB1C29">
        <w:t xml:space="preserve">5 outcomes x 2 markers = </w:t>
      </w:r>
      <w:r w:rsidRPr="00E356F8">
        <w:t>10 tests), and power calculations used a Bonferroni</w:t>
      </w:r>
      <w:r w:rsidR="00D730EC">
        <w:t xml:space="preserve"> style</w:t>
      </w:r>
      <w:r w:rsidRPr="00E356F8">
        <w:t xml:space="preserve">-adjusted two-sided α = 0.005 (0.05/10), with α = 0.0025 </w:t>
      </w:r>
      <w:r w:rsidR="007C265F">
        <w:t xml:space="preserve">(0.05/20) </w:t>
      </w:r>
      <w:r w:rsidRPr="00E356F8">
        <w:t>evaluated as a conservative sensitivity analysis</w:t>
      </w:r>
      <w:r w:rsidR="00837F57">
        <w:t xml:space="preserve"> on the full Bonferroni-adjusted alpha</w:t>
      </w:r>
      <w:r w:rsidRPr="00E356F8">
        <w:t>.</w:t>
      </w:r>
    </w:p>
    <w:p w14:paraId="1CA5E52E" w14:textId="63707E8A" w:rsidR="00A0108C" w:rsidRPr="00E356F8" w:rsidRDefault="00A0108C" w:rsidP="00A0108C">
      <w:r w:rsidRPr="009F4293">
        <w:rPr>
          <w:noProof/>
        </w:rPr>
        <w:lastRenderedPageBreak/>
        <w:drawing>
          <wp:inline distT="0" distB="0" distL="0" distR="0" wp14:anchorId="314717BE" wp14:editId="0F66A6AC">
            <wp:extent cx="5943600" cy="3826510"/>
            <wp:effectExtent l="0" t="0" r="0" b="0"/>
            <wp:docPr id="67421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17966" name=""/>
                    <pic:cNvPicPr/>
                  </pic:nvPicPr>
                  <pic:blipFill>
                    <a:blip r:embed="rId7"/>
                    <a:stretch>
                      <a:fillRect/>
                    </a:stretch>
                  </pic:blipFill>
                  <pic:spPr>
                    <a:xfrm>
                      <a:off x="0" y="0"/>
                      <a:ext cx="5943600" cy="3826510"/>
                    </a:xfrm>
                    <a:prstGeom prst="rect">
                      <a:avLst/>
                    </a:prstGeom>
                  </pic:spPr>
                </pic:pic>
              </a:graphicData>
            </a:graphic>
          </wp:inline>
        </w:drawing>
      </w:r>
      <w:r w:rsidRPr="00FC4174">
        <w:rPr>
          <w:rFonts w:ascii="Times New Roman" w:hAnsi="Times New Roman" w:cs="Times New Roman"/>
          <w:b/>
          <w:bCs/>
          <w:i/>
          <w:iCs/>
          <w:sz w:val="21"/>
          <w:szCs w:val="21"/>
        </w:rPr>
        <w:t xml:space="preserve">Figure 1. Power to detect associations between inflammatory markers and outcomes at N = 175. </w:t>
      </w:r>
      <w:r w:rsidRPr="00FC4174">
        <w:rPr>
          <w:rFonts w:ascii="Times New Roman" w:hAnsi="Times New Roman" w:cs="Times New Roman"/>
          <w:i/>
          <w:iCs/>
          <w:sz w:val="21"/>
          <w:szCs w:val="21"/>
        </w:rPr>
        <w:t xml:space="preserve">Power curves illustrate the estimated power to detect associations between inflammatory markers (IL-6 and MCP-1) and one-year changes in cognitive performance (CVLTΔ) and AD-signature cortical thickness (CORTΔ), evaluated across a range of plausible correlations informed by preliminary data (±0.30 around pilot estimates). The dashed horizontal line represents 80% power, and vertical dotted lines indicate the minimum detectable correlation for each outcome and α level. </w:t>
      </w:r>
    </w:p>
    <w:p w14:paraId="505953B4" w14:textId="2809C0B3" w:rsidR="00E356F8" w:rsidRDefault="00E356F8" w:rsidP="00A26C3A">
      <w:pPr>
        <w:spacing w:before="100" w:beforeAutospacing="1" w:after="100" w:afterAutospacing="1" w:line="480" w:lineRule="auto"/>
      </w:pPr>
      <w:r w:rsidRPr="00E356F8">
        <w:t>For Aim 1, although final analyses will use covariate-adjusted linear regression, power was approximated using correlation-based methods (</w:t>
      </w:r>
      <w:proofErr w:type="spellStart"/>
      <w:proofErr w:type="gramStart"/>
      <w:r w:rsidRPr="00E356F8">
        <w:t>powertools</w:t>
      </w:r>
      <w:proofErr w:type="spellEnd"/>
      <w:r w:rsidRPr="00E356F8">
        <w:t>::</w:t>
      </w:r>
      <w:proofErr w:type="gramEnd"/>
      <w:r w:rsidRPr="00E356F8">
        <w:t xml:space="preserve">corr.1samp in R). Effect sizes were based on preliminary correlations between IL-6, MCP-1, and change outcomes (CVLT and AD-signature cortical thickness), and power was evaluated across ranges defined as ±0.30 around each </w:t>
      </w:r>
      <w:r w:rsidR="00BA3DC5">
        <w:t xml:space="preserve">correlation </w:t>
      </w:r>
      <w:r w:rsidRPr="00E356F8">
        <w:t>estimate.</w:t>
      </w:r>
    </w:p>
    <w:p w14:paraId="330F250D" w14:textId="77777777" w:rsidR="004A73B5" w:rsidRDefault="004A73B5" w:rsidP="00FF261A">
      <w:pPr>
        <w:spacing w:before="100" w:beforeAutospacing="1" w:after="100" w:afterAutospacing="1" w:line="240" w:lineRule="auto"/>
        <w:jc w:val="center"/>
        <w:rPr>
          <w:rFonts w:ascii="Times New Roman" w:eastAsia="Times New Roman" w:hAnsi="Times New Roman" w:cs="Times New Roman"/>
          <w:b/>
          <w:bCs/>
          <w:i/>
          <w:iCs/>
          <w:kern w:val="0"/>
          <w:sz w:val="21"/>
          <w:szCs w:val="21"/>
          <w14:ligatures w14:val="none"/>
        </w:rPr>
      </w:pPr>
      <w:r w:rsidRPr="009F4293">
        <w:rPr>
          <w:rFonts w:ascii="Times New Roman" w:eastAsia="Times New Roman" w:hAnsi="Times New Roman" w:cs="Times New Roman"/>
          <w:b/>
          <w:bCs/>
          <w:i/>
          <w:iCs/>
          <w:noProof/>
          <w:kern w:val="0"/>
          <w:sz w:val="21"/>
          <w:szCs w:val="21"/>
          <w14:ligatures w14:val="none"/>
        </w:rPr>
        <w:lastRenderedPageBreak/>
        <w:drawing>
          <wp:inline distT="0" distB="0" distL="0" distR="0" wp14:anchorId="7F61CD1D" wp14:editId="6C61D247">
            <wp:extent cx="5359677" cy="3904090"/>
            <wp:effectExtent l="0" t="0" r="0" b="0"/>
            <wp:docPr id="1883880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80585" name=""/>
                    <pic:cNvPicPr/>
                  </pic:nvPicPr>
                  <pic:blipFill>
                    <a:blip r:embed="rId8"/>
                    <a:stretch>
                      <a:fillRect/>
                    </a:stretch>
                  </pic:blipFill>
                  <pic:spPr>
                    <a:xfrm>
                      <a:off x="0" y="0"/>
                      <a:ext cx="5435154" cy="3959069"/>
                    </a:xfrm>
                    <a:prstGeom prst="rect">
                      <a:avLst/>
                    </a:prstGeom>
                  </pic:spPr>
                </pic:pic>
              </a:graphicData>
            </a:graphic>
          </wp:inline>
        </w:drawing>
      </w:r>
    </w:p>
    <w:p w14:paraId="0944E4EE" w14:textId="1947199B" w:rsidR="004A73B5" w:rsidRPr="004A73B5" w:rsidRDefault="004A73B5" w:rsidP="00E356F8">
      <w:pPr>
        <w:spacing w:before="100" w:beforeAutospacing="1" w:after="100" w:afterAutospacing="1" w:line="240" w:lineRule="auto"/>
        <w:rPr>
          <w:rFonts w:ascii="Times New Roman" w:eastAsia="Times New Roman" w:hAnsi="Times New Roman" w:cs="Times New Roman"/>
          <w:i/>
          <w:iCs/>
          <w:kern w:val="0"/>
          <w:sz w:val="21"/>
          <w:szCs w:val="21"/>
          <w14:ligatures w14:val="none"/>
        </w:rPr>
      </w:pPr>
      <w:r>
        <w:rPr>
          <w:rFonts w:ascii="Times New Roman" w:eastAsia="Times New Roman" w:hAnsi="Times New Roman" w:cs="Times New Roman"/>
          <w:b/>
          <w:bCs/>
          <w:i/>
          <w:iCs/>
          <w:kern w:val="0"/>
          <w:sz w:val="21"/>
          <w:szCs w:val="21"/>
          <w14:ligatures w14:val="none"/>
        </w:rPr>
        <w:t xml:space="preserve">Figure 2. </w:t>
      </w:r>
      <w:r w:rsidRPr="009F4293">
        <w:rPr>
          <w:rFonts w:ascii="Times New Roman" w:eastAsia="Times New Roman" w:hAnsi="Times New Roman" w:cs="Times New Roman"/>
          <w:b/>
          <w:bCs/>
          <w:i/>
          <w:iCs/>
          <w:kern w:val="0"/>
          <w:sz w:val="21"/>
          <w:szCs w:val="21"/>
          <w14:ligatures w14:val="none"/>
        </w:rPr>
        <w:t>Power to detect the inflammation × amyloid interaction at N = 175.</w:t>
      </w:r>
      <w:r>
        <w:rPr>
          <w:rFonts w:ascii="Times New Roman" w:eastAsia="Times New Roman" w:hAnsi="Times New Roman" w:cs="Times New Roman"/>
          <w:i/>
          <w:iCs/>
          <w:kern w:val="0"/>
          <w:sz w:val="21"/>
          <w:szCs w:val="21"/>
          <w14:ligatures w14:val="none"/>
        </w:rPr>
        <w:t xml:space="preserve"> </w:t>
      </w:r>
      <w:r w:rsidRPr="009F4293">
        <w:rPr>
          <w:rFonts w:ascii="Times New Roman" w:eastAsia="Times New Roman" w:hAnsi="Times New Roman" w:cs="Times New Roman"/>
          <w:i/>
          <w:iCs/>
          <w:kern w:val="0"/>
          <w:sz w:val="21"/>
          <w:szCs w:val="21"/>
          <w14:ligatures w14:val="none"/>
        </w:rPr>
        <w:t xml:space="preserve">Power curves display the estimated power to detect the interaction between peripheral inflammation and amyloid deposition as a function of the assumed partial correlation for the interaction term. Negative values are shown to reflect the hypothesized direction of association (greater inflammation and amyloid associated with worse outcomes). The dashed horizontal line represents 80% power, and vertical dotted lines indicate the minimum detectable interaction effect size at each α level. </w:t>
      </w:r>
    </w:p>
    <w:p w14:paraId="0DED0C11" w14:textId="48C7C62E" w:rsidR="00E356F8" w:rsidRPr="00E356F8" w:rsidRDefault="00E356F8" w:rsidP="00A26C3A">
      <w:pPr>
        <w:spacing w:before="100" w:beforeAutospacing="1" w:after="100" w:afterAutospacing="1" w:line="480" w:lineRule="auto"/>
      </w:pPr>
      <w:r w:rsidRPr="00E356F8">
        <w:t xml:space="preserve">For Aim 2, because pilot data did not include amyloid deposition, power was evaluated across a plausible range of partial correlations using </w:t>
      </w:r>
      <w:proofErr w:type="spellStart"/>
      <w:proofErr w:type="gramStart"/>
      <w:r w:rsidRPr="00E356F8">
        <w:t>powertools</w:t>
      </w:r>
      <w:proofErr w:type="spellEnd"/>
      <w:r w:rsidRPr="00E356F8">
        <w:t>::</w:t>
      </w:r>
      <w:proofErr w:type="spellStart"/>
      <w:proofErr w:type="gramEnd"/>
      <w:r w:rsidRPr="00E356F8">
        <w:t>mlrF.partial</w:t>
      </w:r>
      <w:proofErr w:type="spellEnd"/>
      <w:r w:rsidRPr="00E356F8">
        <w:t xml:space="preserve"> in R. </w:t>
      </w:r>
      <w:r w:rsidR="00EB4C6B">
        <w:t>We assumed t</w:t>
      </w:r>
      <w:r w:rsidRPr="00E356F8">
        <w:t>he reduced model included six predictors (covariates plus inflammation and amyloid; p = 6), and the full model included the interaction term (q = 1).</w:t>
      </w:r>
    </w:p>
    <w:p w14:paraId="21D64A04" w14:textId="467A01A3" w:rsidR="00054440" w:rsidRPr="00554F96" w:rsidRDefault="00E356F8" w:rsidP="00A26C3A">
      <w:pPr>
        <w:spacing w:before="100" w:beforeAutospacing="1" w:after="100" w:afterAutospacing="1" w:line="480" w:lineRule="auto"/>
      </w:pPr>
      <w:r w:rsidRPr="00E356F8">
        <w:t xml:space="preserve">Power results (Figures 1–2) indicate that correlations of approximately |r| ≈ 0.28–0.39 are required to achieve 80% power for Aim 1, and partial correlations of approximately 0.27–0.29 for Aim 2, depending on </w:t>
      </w:r>
      <w:r w:rsidR="00DF2FAD">
        <w:t>alpha</w:t>
      </w:r>
      <w:r w:rsidRPr="00E356F8">
        <w:t>. These results suggest the proposed sample size is sufficient to detect moderate effects but may be underpowered for small effects.</w:t>
      </w:r>
    </w:p>
    <w:sectPr w:rsidR="00054440" w:rsidRPr="00554F96"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1C5D9B"/>
    <w:multiLevelType w:val="hybridMultilevel"/>
    <w:tmpl w:val="92A8B7C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8112DD"/>
    <w:multiLevelType w:val="hybridMultilevel"/>
    <w:tmpl w:val="A5541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31659F"/>
    <w:multiLevelType w:val="hybridMultilevel"/>
    <w:tmpl w:val="A7248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134B94"/>
    <w:multiLevelType w:val="hybridMultilevel"/>
    <w:tmpl w:val="92A8B7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017075"/>
    <w:multiLevelType w:val="hybridMultilevel"/>
    <w:tmpl w:val="18829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306ADA"/>
    <w:multiLevelType w:val="hybridMultilevel"/>
    <w:tmpl w:val="27508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EF4A04"/>
    <w:multiLevelType w:val="hybridMultilevel"/>
    <w:tmpl w:val="9C665B1E"/>
    <w:lvl w:ilvl="0" w:tplc="C5FAB95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471CB1"/>
    <w:multiLevelType w:val="multilevel"/>
    <w:tmpl w:val="DA8C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280334"/>
    <w:multiLevelType w:val="hybridMultilevel"/>
    <w:tmpl w:val="15664E5A"/>
    <w:lvl w:ilvl="0" w:tplc="C5FAB95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5D4458"/>
    <w:multiLevelType w:val="hybridMultilevel"/>
    <w:tmpl w:val="A54A8976"/>
    <w:lvl w:ilvl="0" w:tplc="C5FAB95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E17A82"/>
    <w:multiLevelType w:val="hybridMultilevel"/>
    <w:tmpl w:val="4C1AF1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4"/>
  </w:num>
  <w:num w:numId="2" w16cid:durableId="1785618220">
    <w:abstractNumId w:val="6"/>
  </w:num>
  <w:num w:numId="3" w16cid:durableId="464080542">
    <w:abstractNumId w:val="11"/>
  </w:num>
  <w:num w:numId="4" w16cid:durableId="1792894366">
    <w:abstractNumId w:val="0"/>
  </w:num>
  <w:num w:numId="5" w16cid:durableId="1436707407">
    <w:abstractNumId w:val="7"/>
  </w:num>
  <w:num w:numId="6" w16cid:durableId="1909225803">
    <w:abstractNumId w:val="3"/>
  </w:num>
  <w:num w:numId="7" w16cid:durableId="1912764802">
    <w:abstractNumId w:val="5"/>
  </w:num>
  <w:num w:numId="8" w16cid:durableId="770853444">
    <w:abstractNumId w:val="10"/>
  </w:num>
  <w:num w:numId="9" w16cid:durableId="712191889">
    <w:abstractNumId w:val="14"/>
  </w:num>
  <w:num w:numId="10" w16cid:durableId="1154837085">
    <w:abstractNumId w:val="8"/>
  </w:num>
  <w:num w:numId="11" w16cid:durableId="1473669199">
    <w:abstractNumId w:val="1"/>
  </w:num>
  <w:num w:numId="12" w16cid:durableId="1579097129">
    <w:abstractNumId w:val="2"/>
  </w:num>
  <w:num w:numId="13" w16cid:durableId="1784419224">
    <w:abstractNumId w:val="13"/>
  </w:num>
  <w:num w:numId="14" w16cid:durableId="626469849">
    <w:abstractNumId w:val="12"/>
  </w:num>
  <w:num w:numId="15" w16cid:durableId="3517598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309C"/>
    <w:rsid w:val="000045B5"/>
    <w:rsid w:val="00011E36"/>
    <w:rsid w:val="00012B65"/>
    <w:rsid w:val="000138A4"/>
    <w:rsid w:val="0001567C"/>
    <w:rsid w:val="00017A7C"/>
    <w:rsid w:val="00022827"/>
    <w:rsid w:val="00022FD2"/>
    <w:rsid w:val="0002461F"/>
    <w:rsid w:val="000271D0"/>
    <w:rsid w:val="00030494"/>
    <w:rsid w:val="000315D6"/>
    <w:rsid w:val="00037177"/>
    <w:rsid w:val="000375A9"/>
    <w:rsid w:val="00040C6D"/>
    <w:rsid w:val="00040D1B"/>
    <w:rsid w:val="00043E24"/>
    <w:rsid w:val="000463BA"/>
    <w:rsid w:val="00046587"/>
    <w:rsid w:val="00046E1D"/>
    <w:rsid w:val="00054440"/>
    <w:rsid w:val="0006081C"/>
    <w:rsid w:val="00061D15"/>
    <w:rsid w:val="00063137"/>
    <w:rsid w:val="000649B3"/>
    <w:rsid w:val="0006566F"/>
    <w:rsid w:val="000754E3"/>
    <w:rsid w:val="00076FCF"/>
    <w:rsid w:val="000809BC"/>
    <w:rsid w:val="00080F4C"/>
    <w:rsid w:val="00081B20"/>
    <w:rsid w:val="00082300"/>
    <w:rsid w:val="000845C3"/>
    <w:rsid w:val="00085F10"/>
    <w:rsid w:val="00086AE5"/>
    <w:rsid w:val="000907A9"/>
    <w:rsid w:val="0009190A"/>
    <w:rsid w:val="000925B8"/>
    <w:rsid w:val="000A1437"/>
    <w:rsid w:val="000A1602"/>
    <w:rsid w:val="000A4C8F"/>
    <w:rsid w:val="000A6BB5"/>
    <w:rsid w:val="000A7CE1"/>
    <w:rsid w:val="000B2B12"/>
    <w:rsid w:val="000B786A"/>
    <w:rsid w:val="000C6035"/>
    <w:rsid w:val="000D0105"/>
    <w:rsid w:val="000E0516"/>
    <w:rsid w:val="000E5A3C"/>
    <w:rsid w:val="000E72B7"/>
    <w:rsid w:val="000F3484"/>
    <w:rsid w:val="000F4D67"/>
    <w:rsid w:val="00105C86"/>
    <w:rsid w:val="00107AA5"/>
    <w:rsid w:val="0011046D"/>
    <w:rsid w:val="001116D8"/>
    <w:rsid w:val="001139CA"/>
    <w:rsid w:val="0011554B"/>
    <w:rsid w:val="001163BB"/>
    <w:rsid w:val="001271A1"/>
    <w:rsid w:val="0013279C"/>
    <w:rsid w:val="00137ABE"/>
    <w:rsid w:val="001417C8"/>
    <w:rsid w:val="0014218E"/>
    <w:rsid w:val="0014275F"/>
    <w:rsid w:val="0014276D"/>
    <w:rsid w:val="001468A2"/>
    <w:rsid w:val="0014697E"/>
    <w:rsid w:val="00153B3A"/>
    <w:rsid w:val="00155924"/>
    <w:rsid w:val="00161343"/>
    <w:rsid w:val="00165A98"/>
    <w:rsid w:val="0016792D"/>
    <w:rsid w:val="00167A5E"/>
    <w:rsid w:val="00173BAA"/>
    <w:rsid w:val="00186BED"/>
    <w:rsid w:val="00190FCC"/>
    <w:rsid w:val="00191B21"/>
    <w:rsid w:val="00194D98"/>
    <w:rsid w:val="001979C9"/>
    <w:rsid w:val="001B192F"/>
    <w:rsid w:val="001B3FE9"/>
    <w:rsid w:val="001C1883"/>
    <w:rsid w:val="001C6ADC"/>
    <w:rsid w:val="001C770D"/>
    <w:rsid w:val="001E24A6"/>
    <w:rsid w:val="001E3499"/>
    <w:rsid w:val="001E34E4"/>
    <w:rsid w:val="001F1726"/>
    <w:rsid w:val="001F6999"/>
    <w:rsid w:val="0020070A"/>
    <w:rsid w:val="00204855"/>
    <w:rsid w:val="002121F2"/>
    <w:rsid w:val="00216171"/>
    <w:rsid w:val="002235BF"/>
    <w:rsid w:val="00225599"/>
    <w:rsid w:val="002303A1"/>
    <w:rsid w:val="002304F8"/>
    <w:rsid w:val="002338AA"/>
    <w:rsid w:val="0023493E"/>
    <w:rsid w:val="0023592B"/>
    <w:rsid w:val="00236314"/>
    <w:rsid w:val="002373C6"/>
    <w:rsid w:val="00237557"/>
    <w:rsid w:val="002408F5"/>
    <w:rsid w:val="002417D4"/>
    <w:rsid w:val="00241FF4"/>
    <w:rsid w:val="00244B8C"/>
    <w:rsid w:val="002500A9"/>
    <w:rsid w:val="00250318"/>
    <w:rsid w:val="002504B9"/>
    <w:rsid w:val="00260ACF"/>
    <w:rsid w:val="00261BE0"/>
    <w:rsid w:val="00267F27"/>
    <w:rsid w:val="002707B4"/>
    <w:rsid w:val="00270A35"/>
    <w:rsid w:val="00273C1B"/>
    <w:rsid w:val="00274C30"/>
    <w:rsid w:val="002777EC"/>
    <w:rsid w:val="0028319E"/>
    <w:rsid w:val="002838FE"/>
    <w:rsid w:val="00283FF8"/>
    <w:rsid w:val="00285908"/>
    <w:rsid w:val="00291A70"/>
    <w:rsid w:val="00292B42"/>
    <w:rsid w:val="00293468"/>
    <w:rsid w:val="002A145B"/>
    <w:rsid w:val="002A1AEA"/>
    <w:rsid w:val="002A2E80"/>
    <w:rsid w:val="002B042C"/>
    <w:rsid w:val="002B182C"/>
    <w:rsid w:val="002B37B4"/>
    <w:rsid w:val="002C07D1"/>
    <w:rsid w:val="002C349F"/>
    <w:rsid w:val="002C3ED1"/>
    <w:rsid w:val="002C4F6B"/>
    <w:rsid w:val="002C6FA6"/>
    <w:rsid w:val="002D22B5"/>
    <w:rsid w:val="002D2583"/>
    <w:rsid w:val="002D26DF"/>
    <w:rsid w:val="002F024B"/>
    <w:rsid w:val="002F28E4"/>
    <w:rsid w:val="002F5182"/>
    <w:rsid w:val="002F610B"/>
    <w:rsid w:val="003014C6"/>
    <w:rsid w:val="0030562A"/>
    <w:rsid w:val="00307D2A"/>
    <w:rsid w:val="00314A0B"/>
    <w:rsid w:val="003200BE"/>
    <w:rsid w:val="00321ECE"/>
    <w:rsid w:val="00322D16"/>
    <w:rsid w:val="00327852"/>
    <w:rsid w:val="00332A65"/>
    <w:rsid w:val="00332BA4"/>
    <w:rsid w:val="00335E05"/>
    <w:rsid w:val="00337343"/>
    <w:rsid w:val="00343783"/>
    <w:rsid w:val="0034563A"/>
    <w:rsid w:val="00347515"/>
    <w:rsid w:val="00351B86"/>
    <w:rsid w:val="00356382"/>
    <w:rsid w:val="0036126A"/>
    <w:rsid w:val="003723D3"/>
    <w:rsid w:val="00373813"/>
    <w:rsid w:val="003842C5"/>
    <w:rsid w:val="0038582D"/>
    <w:rsid w:val="003877FD"/>
    <w:rsid w:val="003A07A8"/>
    <w:rsid w:val="003B1C7B"/>
    <w:rsid w:val="003B2E44"/>
    <w:rsid w:val="003C0B55"/>
    <w:rsid w:val="003C1071"/>
    <w:rsid w:val="003C349D"/>
    <w:rsid w:val="003C6201"/>
    <w:rsid w:val="003D1A11"/>
    <w:rsid w:val="003D2015"/>
    <w:rsid w:val="003D78AD"/>
    <w:rsid w:val="003E02FF"/>
    <w:rsid w:val="003E0C04"/>
    <w:rsid w:val="003E1EB9"/>
    <w:rsid w:val="003E399D"/>
    <w:rsid w:val="003E3AC1"/>
    <w:rsid w:val="003E4D73"/>
    <w:rsid w:val="003E7BDD"/>
    <w:rsid w:val="00401CD1"/>
    <w:rsid w:val="00403B80"/>
    <w:rsid w:val="004076FF"/>
    <w:rsid w:val="00407C42"/>
    <w:rsid w:val="00410369"/>
    <w:rsid w:val="00423112"/>
    <w:rsid w:val="004332CE"/>
    <w:rsid w:val="00433620"/>
    <w:rsid w:val="00436CEC"/>
    <w:rsid w:val="00443397"/>
    <w:rsid w:val="00446CBC"/>
    <w:rsid w:val="00451988"/>
    <w:rsid w:val="00457714"/>
    <w:rsid w:val="00462561"/>
    <w:rsid w:val="004665FD"/>
    <w:rsid w:val="00467414"/>
    <w:rsid w:val="004700B2"/>
    <w:rsid w:val="004806C1"/>
    <w:rsid w:val="00482E5B"/>
    <w:rsid w:val="00485143"/>
    <w:rsid w:val="0049007E"/>
    <w:rsid w:val="004901BE"/>
    <w:rsid w:val="00492400"/>
    <w:rsid w:val="00492DEE"/>
    <w:rsid w:val="00494C2D"/>
    <w:rsid w:val="00496160"/>
    <w:rsid w:val="004A02A2"/>
    <w:rsid w:val="004A2164"/>
    <w:rsid w:val="004A3CB6"/>
    <w:rsid w:val="004A5CC2"/>
    <w:rsid w:val="004A73B5"/>
    <w:rsid w:val="004B1057"/>
    <w:rsid w:val="004B3A73"/>
    <w:rsid w:val="004C6D0E"/>
    <w:rsid w:val="004C70A9"/>
    <w:rsid w:val="004C7411"/>
    <w:rsid w:val="004D274B"/>
    <w:rsid w:val="004D4BA5"/>
    <w:rsid w:val="004D73E9"/>
    <w:rsid w:val="004E47D0"/>
    <w:rsid w:val="004E76A6"/>
    <w:rsid w:val="004E7E6B"/>
    <w:rsid w:val="004F287F"/>
    <w:rsid w:val="00510296"/>
    <w:rsid w:val="00511BBA"/>
    <w:rsid w:val="00512442"/>
    <w:rsid w:val="005127A2"/>
    <w:rsid w:val="00513BAF"/>
    <w:rsid w:val="00514659"/>
    <w:rsid w:val="00516FF9"/>
    <w:rsid w:val="00525A2F"/>
    <w:rsid w:val="00525D92"/>
    <w:rsid w:val="00526413"/>
    <w:rsid w:val="00526B02"/>
    <w:rsid w:val="00527F7C"/>
    <w:rsid w:val="00531109"/>
    <w:rsid w:val="005319B3"/>
    <w:rsid w:val="00532040"/>
    <w:rsid w:val="00544923"/>
    <w:rsid w:val="00546878"/>
    <w:rsid w:val="00552381"/>
    <w:rsid w:val="00554F96"/>
    <w:rsid w:val="005573ED"/>
    <w:rsid w:val="0056373B"/>
    <w:rsid w:val="00565D31"/>
    <w:rsid w:val="0057165C"/>
    <w:rsid w:val="005843B1"/>
    <w:rsid w:val="00584FE1"/>
    <w:rsid w:val="005917CB"/>
    <w:rsid w:val="00594181"/>
    <w:rsid w:val="005A16C0"/>
    <w:rsid w:val="005A4C30"/>
    <w:rsid w:val="005A68E6"/>
    <w:rsid w:val="005B083F"/>
    <w:rsid w:val="005B1E7B"/>
    <w:rsid w:val="005B301B"/>
    <w:rsid w:val="005B4357"/>
    <w:rsid w:val="005B4D9B"/>
    <w:rsid w:val="005B7666"/>
    <w:rsid w:val="005C0173"/>
    <w:rsid w:val="005C1D1A"/>
    <w:rsid w:val="005C38A5"/>
    <w:rsid w:val="005C6BBF"/>
    <w:rsid w:val="005C7181"/>
    <w:rsid w:val="005D18BC"/>
    <w:rsid w:val="005D511E"/>
    <w:rsid w:val="005E140B"/>
    <w:rsid w:val="005E4536"/>
    <w:rsid w:val="005E5D00"/>
    <w:rsid w:val="005E654C"/>
    <w:rsid w:val="005E7EE9"/>
    <w:rsid w:val="005F1B78"/>
    <w:rsid w:val="005F2001"/>
    <w:rsid w:val="005F32A2"/>
    <w:rsid w:val="005F4FB8"/>
    <w:rsid w:val="005F70DD"/>
    <w:rsid w:val="00600723"/>
    <w:rsid w:val="0060402C"/>
    <w:rsid w:val="00606E91"/>
    <w:rsid w:val="00607303"/>
    <w:rsid w:val="00611506"/>
    <w:rsid w:val="00612F08"/>
    <w:rsid w:val="00615880"/>
    <w:rsid w:val="00617B5F"/>
    <w:rsid w:val="00627314"/>
    <w:rsid w:val="00627A78"/>
    <w:rsid w:val="00630682"/>
    <w:rsid w:val="006370B6"/>
    <w:rsid w:val="00637E56"/>
    <w:rsid w:val="006423D7"/>
    <w:rsid w:val="0064401D"/>
    <w:rsid w:val="00644986"/>
    <w:rsid w:val="00644C20"/>
    <w:rsid w:val="006525B3"/>
    <w:rsid w:val="00656B5B"/>
    <w:rsid w:val="00656BA2"/>
    <w:rsid w:val="006611A8"/>
    <w:rsid w:val="00671A04"/>
    <w:rsid w:val="006734D5"/>
    <w:rsid w:val="00681597"/>
    <w:rsid w:val="00683E4B"/>
    <w:rsid w:val="00687621"/>
    <w:rsid w:val="00693388"/>
    <w:rsid w:val="00696B01"/>
    <w:rsid w:val="006A302A"/>
    <w:rsid w:val="006A4676"/>
    <w:rsid w:val="006A7452"/>
    <w:rsid w:val="006B0A44"/>
    <w:rsid w:val="006B2FEB"/>
    <w:rsid w:val="006B56F0"/>
    <w:rsid w:val="006B6991"/>
    <w:rsid w:val="006B7D3E"/>
    <w:rsid w:val="006C029A"/>
    <w:rsid w:val="006C13F5"/>
    <w:rsid w:val="006C4D3B"/>
    <w:rsid w:val="006C63A1"/>
    <w:rsid w:val="006D122D"/>
    <w:rsid w:val="006D1924"/>
    <w:rsid w:val="006D19FD"/>
    <w:rsid w:val="006D1CA8"/>
    <w:rsid w:val="006D2F29"/>
    <w:rsid w:val="006D3D7B"/>
    <w:rsid w:val="006E0C0F"/>
    <w:rsid w:val="006E1BF9"/>
    <w:rsid w:val="006E2858"/>
    <w:rsid w:val="006E3A78"/>
    <w:rsid w:val="006F0468"/>
    <w:rsid w:val="006F2069"/>
    <w:rsid w:val="006F2090"/>
    <w:rsid w:val="00701D84"/>
    <w:rsid w:val="00703D74"/>
    <w:rsid w:val="00704249"/>
    <w:rsid w:val="007108C4"/>
    <w:rsid w:val="007220A7"/>
    <w:rsid w:val="00734689"/>
    <w:rsid w:val="00734E69"/>
    <w:rsid w:val="0074784D"/>
    <w:rsid w:val="0075081B"/>
    <w:rsid w:val="007534DD"/>
    <w:rsid w:val="00761632"/>
    <w:rsid w:val="00763930"/>
    <w:rsid w:val="00763D82"/>
    <w:rsid w:val="00767A1B"/>
    <w:rsid w:val="007740F5"/>
    <w:rsid w:val="00775A60"/>
    <w:rsid w:val="00780F09"/>
    <w:rsid w:val="0078304B"/>
    <w:rsid w:val="00786F1B"/>
    <w:rsid w:val="00787F20"/>
    <w:rsid w:val="00795022"/>
    <w:rsid w:val="0079632E"/>
    <w:rsid w:val="007A0DD2"/>
    <w:rsid w:val="007A3176"/>
    <w:rsid w:val="007B2228"/>
    <w:rsid w:val="007B286F"/>
    <w:rsid w:val="007B6FE5"/>
    <w:rsid w:val="007C265F"/>
    <w:rsid w:val="007C2CBA"/>
    <w:rsid w:val="007C7181"/>
    <w:rsid w:val="007C7D7A"/>
    <w:rsid w:val="007D49D9"/>
    <w:rsid w:val="007D689A"/>
    <w:rsid w:val="007E29A5"/>
    <w:rsid w:val="007E5D79"/>
    <w:rsid w:val="007E7FF0"/>
    <w:rsid w:val="007F07C8"/>
    <w:rsid w:val="007F4155"/>
    <w:rsid w:val="007F682D"/>
    <w:rsid w:val="00800E84"/>
    <w:rsid w:val="00804742"/>
    <w:rsid w:val="008068DA"/>
    <w:rsid w:val="00812CD4"/>
    <w:rsid w:val="0082135C"/>
    <w:rsid w:val="008220D1"/>
    <w:rsid w:val="0082564A"/>
    <w:rsid w:val="00832BFD"/>
    <w:rsid w:val="00837F57"/>
    <w:rsid w:val="008447A9"/>
    <w:rsid w:val="0085599C"/>
    <w:rsid w:val="008622FC"/>
    <w:rsid w:val="00862C2B"/>
    <w:rsid w:val="00863476"/>
    <w:rsid w:val="0086582E"/>
    <w:rsid w:val="00867E5E"/>
    <w:rsid w:val="00877B52"/>
    <w:rsid w:val="0088190A"/>
    <w:rsid w:val="00884C80"/>
    <w:rsid w:val="0088765F"/>
    <w:rsid w:val="00892C67"/>
    <w:rsid w:val="00893169"/>
    <w:rsid w:val="008966E4"/>
    <w:rsid w:val="00896D47"/>
    <w:rsid w:val="00897BAA"/>
    <w:rsid w:val="008A0852"/>
    <w:rsid w:val="008A2C91"/>
    <w:rsid w:val="008B4E05"/>
    <w:rsid w:val="008B6370"/>
    <w:rsid w:val="008B6CAD"/>
    <w:rsid w:val="008B7EA4"/>
    <w:rsid w:val="008D5DA8"/>
    <w:rsid w:val="008E1CCE"/>
    <w:rsid w:val="008E1CFB"/>
    <w:rsid w:val="008E2B37"/>
    <w:rsid w:val="008E55F4"/>
    <w:rsid w:val="008F4FB4"/>
    <w:rsid w:val="00912B74"/>
    <w:rsid w:val="00912E60"/>
    <w:rsid w:val="00913115"/>
    <w:rsid w:val="009157EF"/>
    <w:rsid w:val="009175DC"/>
    <w:rsid w:val="00924745"/>
    <w:rsid w:val="009315C8"/>
    <w:rsid w:val="00932DF6"/>
    <w:rsid w:val="00936432"/>
    <w:rsid w:val="00936CAC"/>
    <w:rsid w:val="00940747"/>
    <w:rsid w:val="0095345A"/>
    <w:rsid w:val="009550D5"/>
    <w:rsid w:val="009606B3"/>
    <w:rsid w:val="009608B7"/>
    <w:rsid w:val="00962CEE"/>
    <w:rsid w:val="009659F5"/>
    <w:rsid w:val="00966BA7"/>
    <w:rsid w:val="00970E4F"/>
    <w:rsid w:val="009860D9"/>
    <w:rsid w:val="00995143"/>
    <w:rsid w:val="00996708"/>
    <w:rsid w:val="00997B0F"/>
    <w:rsid w:val="009A0AA1"/>
    <w:rsid w:val="009A3007"/>
    <w:rsid w:val="009A3CB0"/>
    <w:rsid w:val="009A59F5"/>
    <w:rsid w:val="009B69F7"/>
    <w:rsid w:val="009C1982"/>
    <w:rsid w:val="009C486E"/>
    <w:rsid w:val="009D24B3"/>
    <w:rsid w:val="009D55C3"/>
    <w:rsid w:val="009E7390"/>
    <w:rsid w:val="009F3010"/>
    <w:rsid w:val="009F4293"/>
    <w:rsid w:val="009F5C3A"/>
    <w:rsid w:val="009F7F2A"/>
    <w:rsid w:val="00A0108C"/>
    <w:rsid w:val="00A120C8"/>
    <w:rsid w:val="00A24095"/>
    <w:rsid w:val="00A24492"/>
    <w:rsid w:val="00A26C3A"/>
    <w:rsid w:val="00A27FE7"/>
    <w:rsid w:val="00A3037C"/>
    <w:rsid w:val="00A342EE"/>
    <w:rsid w:val="00A349BB"/>
    <w:rsid w:val="00A419C4"/>
    <w:rsid w:val="00A42BEE"/>
    <w:rsid w:val="00A44200"/>
    <w:rsid w:val="00A54172"/>
    <w:rsid w:val="00A61D11"/>
    <w:rsid w:val="00A62AD9"/>
    <w:rsid w:val="00A65C67"/>
    <w:rsid w:val="00A664BF"/>
    <w:rsid w:val="00A70C89"/>
    <w:rsid w:val="00A732FC"/>
    <w:rsid w:val="00A7725D"/>
    <w:rsid w:val="00A826B4"/>
    <w:rsid w:val="00A903C1"/>
    <w:rsid w:val="00A966DB"/>
    <w:rsid w:val="00AA1457"/>
    <w:rsid w:val="00AA44AE"/>
    <w:rsid w:val="00AA56B6"/>
    <w:rsid w:val="00AB182B"/>
    <w:rsid w:val="00AC1F57"/>
    <w:rsid w:val="00AC60AF"/>
    <w:rsid w:val="00AD279C"/>
    <w:rsid w:val="00AD4D24"/>
    <w:rsid w:val="00AE7102"/>
    <w:rsid w:val="00AF085E"/>
    <w:rsid w:val="00AF0CF1"/>
    <w:rsid w:val="00AF1254"/>
    <w:rsid w:val="00AF3C07"/>
    <w:rsid w:val="00B02FC6"/>
    <w:rsid w:val="00B0480B"/>
    <w:rsid w:val="00B04C10"/>
    <w:rsid w:val="00B04C5B"/>
    <w:rsid w:val="00B056AA"/>
    <w:rsid w:val="00B05C68"/>
    <w:rsid w:val="00B13C73"/>
    <w:rsid w:val="00B13CE8"/>
    <w:rsid w:val="00B14BD5"/>
    <w:rsid w:val="00B1530C"/>
    <w:rsid w:val="00B17A31"/>
    <w:rsid w:val="00B27BE2"/>
    <w:rsid w:val="00B31E3B"/>
    <w:rsid w:val="00B36208"/>
    <w:rsid w:val="00B375D5"/>
    <w:rsid w:val="00B37B20"/>
    <w:rsid w:val="00B4157B"/>
    <w:rsid w:val="00B45700"/>
    <w:rsid w:val="00B45B7C"/>
    <w:rsid w:val="00B4629E"/>
    <w:rsid w:val="00B512E2"/>
    <w:rsid w:val="00B53856"/>
    <w:rsid w:val="00B53FB2"/>
    <w:rsid w:val="00B60A59"/>
    <w:rsid w:val="00B60B19"/>
    <w:rsid w:val="00B6272D"/>
    <w:rsid w:val="00B63C86"/>
    <w:rsid w:val="00B678D1"/>
    <w:rsid w:val="00B82BDB"/>
    <w:rsid w:val="00B83485"/>
    <w:rsid w:val="00B86E2A"/>
    <w:rsid w:val="00B91978"/>
    <w:rsid w:val="00BA0141"/>
    <w:rsid w:val="00BA1C67"/>
    <w:rsid w:val="00BA1D33"/>
    <w:rsid w:val="00BA1E62"/>
    <w:rsid w:val="00BA39F1"/>
    <w:rsid w:val="00BA3DC5"/>
    <w:rsid w:val="00BA6AFD"/>
    <w:rsid w:val="00BB0DA3"/>
    <w:rsid w:val="00BB1C29"/>
    <w:rsid w:val="00BB3377"/>
    <w:rsid w:val="00BB7AFB"/>
    <w:rsid w:val="00BC0363"/>
    <w:rsid w:val="00BC0462"/>
    <w:rsid w:val="00BC08C6"/>
    <w:rsid w:val="00BC09CE"/>
    <w:rsid w:val="00BC1F9E"/>
    <w:rsid w:val="00BC3DD3"/>
    <w:rsid w:val="00BC66C4"/>
    <w:rsid w:val="00BD6ACF"/>
    <w:rsid w:val="00BD73B5"/>
    <w:rsid w:val="00BE4046"/>
    <w:rsid w:val="00BF3557"/>
    <w:rsid w:val="00BF3EF4"/>
    <w:rsid w:val="00BF5425"/>
    <w:rsid w:val="00BF54BD"/>
    <w:rsid w:val="00BF6539"/>
    <w:rsid w:val="00BF756A"/>
    <w:rsid w:val="00C02AA1"/>
    <w:rsid w:val="00C04BEF"/>
    <w:rsid w:val="00C0561A"/>
    <w:rsid w:val="00C05674"/>
    <w:rsid w:val="00C059F9"/>
    <w:rsid w:val="00C06C9D"/>
    <w:rsid w:val="00C1162D"/>
    <w:rsid w:val="00C14CAE"/>
    <w:rsid w:val="00C21CC2"/>
    <w:rsid w:val="00C22804"/>
    <w:rsid w:val="00C22C35"/>
    <w:rsid w:val="00C24D8A"/>
    <w:rsid w:val="00C27CD2"/>
    <w:rsid w:val="00C33A02"/>
    <w:rsid w:val="00C34ED6"/>
    <w:rsid w:val="00C40449"/>
    <w:rsid w:val="00C41D17"/>
    <w:rsid w:val="00C444F8"/>
    <w:rsid w:val="00C45528"/>
    <w:rsid w:val="00C5244A"/>
    <w:rsid w:val="00C52870"/>
    <w:rsid w:val="00C56766"/>
    <w:rsid w:val="00C56A3A"/>
    <w:rsid w:val="00C56F37"/>
    <w:rsid w:val="00C5730A"/>
    <w:rsid w:val="00C57CF8"/>
    <w:rsid w:val="00C608B1"/>
    <w:rsid w:val="00C611AB"/>
    <w:rsid w:val="00C61D50"/>
    <w:rsid w:val="00C73AC9"/>
    <w:rsid w:val="00C74C1C"/>
    <w:rsid w:val="00CA2236"/>
    <w:rsid w:val="00CA4F54"/>
    <w:rsid w:val="00CA545F"/>
    <w:rsid w:val="00CB03A3"/>
    <w:rsid w:val="00CB142B"/>
    <w:rsid w:val="00CB1727"/>
    <w:rsid w:val="00CC1D54"/>
    <w:rsid w:val="00CD162F"/>
    <w:rsid w:val="00CD3969"/>
    <w:rsid w:val="00CD4A7B"/>
    <w:rsid w:val="00CD67A4"/>
    <w:rsid w:val="00CF0353"/>
    <w:rsid w:val="00CF408A"/>
    <w:rsid w:val="00CF5ADD"/>
    <w:rsid w:val="00CF63A2"/>
    <w:rsid w:val="00D01DA1"/>
    <w:rsid w:val="00D0262A"/>
    <w:rsid w:val="00D027FF"/>
    <w:rsid w:val="00D05AAE"/>
    <w:rsid w:val="00D07A6A"/>
    <w:rsid w:val="00D10408"/>
    <w:rsid w:val="00D10F54"/>
    <w:rsid w:val="00D114A5"/>
    <w:rsid w:val="00D142E3"/>
    <w:rsid w:val="00D147BB"/>
    <w:rsid w:val="00D20AAD"/>
    <w:rsid w:val="00D20D81"/>
    <w:rsid w:val="00D22069"/>
    <w:rsid w:val="00D27FA2"/>
    <w:rsid w:val="00D323D3"/>
    <w:rsid w:val="00D34E0C"/>
    <w:rsid w:val="00D375BA"/>
    <w:rsid w:val="00D44BFE"/>
    <w:rsid w:val="00D51D5D"/>
    <w:rsid w:val="00D53515"/>
    <w:rsid w:val="00D56EE3"/>
    <w:rsid w:val="00D64EB3"/>
    <w:rsid w:val="00D67074"/>
    <w:rsid w:val="00D67C98"/>
    <w:rsid w:val="00D730EC"/>
    <w:rsid w:val="00D732A8"/>
    <w:rsid w:val="00D73C79"/>
    <w:rsid w:val="00D74884"/>
    <w:rsid w:val="00D7641F"/>
    <w:rsid w:val="00D82765"/>
    <w:rsid w:val="00D827FF"/>
    <w:rsid w:val="00D858F5"/>
    <w:rsid w:val="00D8742E"/>
    <w:rsid w:val="00D917A7"/>
    <w:rsid w:val="00D94E70"/>
    <w:rsid w:val="00D96111"/>
    <w:rsid w:val="00DA0DAC"/>
    <w:rsid w:val="00DA1E36"/>
    <w:rsid w:val="00DA56E8"/>
    <w:rsid w:val="00DA580B"/>
    <w:rsid w:val="00DA7EBE"/>
    <w:rsid w:val="00DB0B59"/>
    <w:rsid w:val="00DB4132"/>
    <w:rsid w:val="00DB5296"/>
    <w:rsid w:val="00DB5AE1"/>
    <w:rsid w:val="00DB71D6"/>
    <w:rsid w:val="00DC15F8"/>
    <w:rsid w:val="00DC2632"/>
    <w:rsid w:val="00DD3450"/>
    <w:rsid w:val="00DE419C"/>
    <w:rsid w:val="00DE461E"/>
    <w:rsid w:val="00DE56F0"/>
    <w:rsid w:val="00DF05AC"/>
    <w:rsid w:val="00DF0A99"/>
    <w:rsid w:val="00DF2FAD"/>
    <w:rsid w:val="00DF3314"/>
    <w:rsid w:val="00E02CBE"/>
    <w:rsid w:val="00E07106"/>
    <w:rsid w:val="00E1649B"/>
    <w:rsid w:val="00E1729A"/>
    <w:rsid w:val="00E21892"/>
    <w:rsid w:val="00E2472D"/>
    <w:rsid w:val="00E27EEE"/>
    <w:rsid w:val="00E31008"/>
    <w:rsid w:val="00E311AA"/>
    <w:rsid w:val="00E33ABE"/>
    <w:rsid w:val="00E356F8"/>
    <w:rsid w:val="00E35826"/>
    <w:rsid w:val="00E4249C"/>
    <w:rsid w:val="00E45B40"/>
    <w:rsid w:val="00E506A8"/>
    <w:rsid w:val="00E51ECE"/>
    <w:rsid w:val="00E538D1"/>
    <w:rsid w:val="00E544C1"/>
    <w:rsid w:val="00E56388"/>
    <w:rsid w:val="00E64CAF"/>
    <w:rsid w:val="00E71140"/>
    <w:rsid w:val="00E71383"/>
    <w:rsid w:val="00E77346"/>
    <w:rsid w:val="00E77C2A"/>
    <w:rsid w:val="00E83597"/>
    <w:rsid w:val="00E86B5A"/>
    <w:rsid w:val="00E87972"/>
    <w:rsid w:val="00E96081"/>
    <w:rsid w:val="00E96377"/>
    <w:rsid w:val="00EA691D"/>
    <w:rsid w:val="00EA714D"/>
    <w:rsid w:val="00EA7897"/>
    <w:rsid w:val="00EA7ADD"/>
    <w:rsid w:val="00EB3271"/>
    <w:rsid w:val="00EB33A7"/>
    <w:rsid w:val="00EB4BA7"/>
    <w:rsid w:val="00EB4C6B"/>
    <w:rsid w:val="00EC2C1C"/>
    <w:rsid w:val="00EC36B0"/>
    <w:rsid w:val="00EC6DEC"/>
    <w:rsid w:val="00ED1588"/>
    <w:rsid w:val="00ED4E14"/>
    <w:rsid w:val="00EE10F2"/>
    <w:rsid w:val="00EE1960"/>
    <w:rsid w:val="00EF0FFC"/>
    <w:rsid w:val="00EF5627"/>
    <w:rsid w:val="00EF72B8"/>
    <w:rsid w:val="00F03DA7"/>
    <w:rsid w:val="00F047DA"/>
    <w:rsid w:val="00F04C46"/>
    <w:rsid w:val="00F07114"/>
    <w:rsid w:val="00F106CE"/>
    <w:rsid w:val="00F161CF"/>
    <w:rsid w:val="00F24B8D"/>
    <w:rsid w:val="00F255FD"/>
    <w:rsid w:val="00F30AF9"/>
    <w:rsid w:val="00F30C70"/>
    <w:rsid w:val="00F318D2"/>
    <w:rsid w:val="00F41DCA"/>
    <w:rsid w:val="00F429CB"/>
    <w:rsid w:val="00F42D4B"/>
    <w:rsid w:val="00F437FF"/>
    <w:rsid w:val="00F46876"/>
    <w:rsid w:val="00F52DD2"/>
    <w:rsid w:val="00F5654E"/>
    <w:rsid w:val="00F67304"/>
    <w:rsid w:val="00F71BDE"/>
    <w:rsid w:val="00F7229E"/>
    <w:rsid w:val="00F74395"/>
    <w:rsid w:val="00F76D53"/>
    <w:rsid w:val="00F847A8"/>
    <w:rsid w:val="00F9146E"/>
    <w:rsid w:val="00F930AF"/>
    <w:rsid w:val="00F936E3"/>
    <w:rsid w:val="00F955F3"/>
    <w:rsid w:val="00F9688B"/>
    <w:rsid w:val="00FA19A9"/>
    <w:rsid w:val="00FA3BE6"/>
    <w:rsid w:val="00FA4F6D"/>
    <w:rsid w:val="00FA7D62"/>
    <w:rsid w:val="00FB2C5D"/>
    <w:rsid w:val="00FB2C83"/>
    <w:rsid w:val="00FB3E21"/>
    <w:rsid w:val="00FB6019"/>
    <w:rsid w:val="00FB74D0"/>
    <w:rsid w:val="00FB760F"/>
    <w:rsid w:val="00FC06DB"/>
    <w:rsid w:val="00FC0EEE"/>
    <w:rsid w:val="00FC4174"/>
    <w:rsid w:val="00FD6C3F"/>
    <w:rsid w:val="00FE5E47"/>
    <w:rsid w:val="00FE6C05"/>
    <w:rsid w:val="00FF153E"/>
    <w:rsid w:val="00FF20B2"/>
    <w:rsid w:val="00FF261A"/>
    <w:rsid w:val="00FF28C7"/>
    <w:rsid w:val="00FF6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588"/>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unhideWhenUsed/>
    <w:rsid w:val="00E77C2A"/>
    <w:pPr>
      <w:tabs>
        <w:tab w:val="right" w:leader="dot" w:pos="9350"/>
      </w:tabs>
      <w:spacing w:after="0"/>
      <w:ind w:left="480"/>
    </w:pPr>
    <w:rPr>
      <w:b/>
      <w:bCs/>
      <w:noProof/>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 w:type="paragraph" w:styleId="NoSpacing">
    <w:name w:val="No Spacing"/>
    <w:uiPriority w:val="1"/>
    <w:qFormat/>
    <w:rsid w:val="00AA1457"/>
    <w:pPr>
      <w:spacing w:after="0" w:line="240" w:lineRule="auto"/>
    </w:pPr>
  </w:style>
  <w:style w:type="paragraph" w:customStyle="1" w:styleId="p2">
    <w:name w:val="p2"/>
    <w:basedOn w:val="Normal"/>
    <w:rsid w:val="00CB03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CB0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983</Words>
  <Characters>5607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4</cp:revision>
  <dcterms:created xsi:type="dcterms:W3CDTF">2026-03-21T18:12:00Z</dcterms:created>
  <dcterms:modified xsi:type="dcterms:W3CDTF">2026-03-24T14:11:00Z</dcterms:modified>
</cp:coreProperties>
</file>