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E07" w14:textId="5F83AAD3" w:rsidR="00A65C67" w:rsidRPr="00017A7C" w:rsidRDefault="00A65C67" w:rsidP="00A65C67">
      <w:pPr>
        <w:pStyle w:val="Heading2"/>
        <w:jc w:val="center"/>
        <w:rPr>
          <w:b/>
          <w:bCs/>
          <w:color w:val="000000" w:themeColor="text1"/>
        </w:rPr>
      </w:pPr>
      <w:bookmarkStart w:id="0" w:name="_Toc221895313"/>
      <w:bookmarkStart w:id="1" w:name="_Toc221895378"/>
      <w:bookmarkStart w:id="2" w:name="_Toc222223983"/>
      <w:bookmarkStart w:id="3" w:name="_Toc228353110"/>
      <w:bookmarkStart w:id="4" w:name="_Toc228957657"/>
      <w:r w:rsidRPr="00017A7C">
        <w:rPr>
          <w:b/>
          <w:bCs/>
          <w:color w:val="000000" w:themeColor="text1"/>
        </w:rPr>
        <w:t>Project</w:t>
      </w:r>
      <w:r w:rsidR="00513576">
        <w:rPr>
          <w:b/>
          <w:bCs/>
          <w:color w:val="000000" w:themeColor="text1"/>
        </w:rPr>
        <w:t xml:space="preserve"> </w:t>
      </w:r>
      <w:r w:rsidR="005A4B2D">
        <w:rPr>
          <w:b/>
          <w:bCs/>
          <w:color w:val="000000" w:themeColor="text1"/>
        </w:rPr>
        <w:t>4</w:t>
      </w:r>
      <w:r w:rsidR="00785657">
        <w:rPr>
          <w:b/>
          <w:bCs/>
          <w:color w:val="000000" w:themeColor="text1"/>
        </w:rPr>
        <w:t xml:space="preserve"> </w:t>
      </w:r>
      <w:r w:rsidR="00EE2724">
        <w:rPr>
          <w:b/>
          <w:bCs/>
          <w:color w:val="000000" w:themeColor="text1"/>
        </w:rPr>
        <w:t>Final Report</w:t>
      </w:r>
      <w:r w:rsidRPr="00017A7C">
        <w:rPr>
          <w:b/>
          <w:bCs/>
          <w:color w:val="000000" w:themeColor="text1"/>
        </w:rPr>
        <w:t>:</w:t>
      </w:r>
      <w:bookmarkEnd w:id="0"/>
      <w:bookmarkEnd w:id="1"/>
      <w:bookmarkEnd w:id="2"/>
      <w:bookmarkEnd w:id="3"/>
      <w:bookmarkEnd w:id="4"/>
    </w:p>
    <w:p w14:paraId="4875CB18" w14:textId="57BA62C2" w:rsidR="00785657" w:rsidRDefault="00785657" w:rsidP="00A65C67">
      <w:pPr>
        <w:rPr>
          <w:rFonts w:asciiTheme="majorHAnsi" w:eastAsiaTheme="majorEastAsia" w:hAnsiTheme="majorHAnsi" w:cstheme="majorBidi"/>
          <w:b/>
          <w:bCs/>
          <w:color w:val="000000" w:themeColor="text1"/>
          <w:sz w:val="32"/>
          <w:szCs w:val="32"/>
        </w:rPr>
      </w:pPr>
      <w:r w:rsidRPr="00785657">
        <w:rPr>
          <w:rFonts w:asciiTheme="majorHAnsi" w:eastAsiaTheme="majorEastAsia" w:hAnsiTheme="majorHAnsi" w:cstheme="majorBidi"/>
          <w:b/>
          <w:bCs/>
          <w:color w:val="000000" w:themeColor="text1"/>
          <w:sz w:val="32"/>
          <w:szCs w:val="32"/>
        </w:rPr>
        <w:t xml:space="preserve">Investigation of Variable Selection </w:t>
      </w:r>
      <w:r w:rsidR="00EA449C">
        <w:rPr>
          <w:rFonts w:asciiTheme="majorHAnsi" w:eastAsiaTheme="majorEastAsia" w:hAnsiTheme="majorHAnsi" w:cstheme="majorBidi"/>
          <w:b/>
          <w:bCs/>
          <w:color w:val="000000" w:themeColor="text1"/>
          <w:sz w:val="32"/>
          <w:szCs w:val="32"/>
        </w:rPr>
        <w:t>Methods</w:t>
      </w:r>
      <w:r w:rsidRPr="00785657">
        <w:rPr>
          <w:rFonts w:asciiTheme="majorHAnsi" w:eastAsiaTheme="majorEastAsia" w:hAnsiTheme="majorHAnsi" w:cstheme="majorBidi"/>
          <w:b/>
          <w:bCs/>
          <w:color w:val="000000" w:themeColor="text1"/>
          <w:sz w:val="32"/>
          <w:szCs w:val="32"/>
        </w:rPr>
        <w:t xml:space="preserve"> in Linear Regression</w:t>
      </w:r>
    </w:p>
    <w:p w14:paraId="1A10E8F1" w14:textId="77777777" w:rsidR="00785657" w:rsidRPr="00785657" w:rsidRDefault="00785657" w:rsidP="00A65C67">
      <w:pPr>
        <w:rPr>
          <w:rFonts w:asciiTheme="majorHAnsi" w:eastAsiaTheme="majorEastAsia" w:hAnsiTheme="majorHAnsi" w:cstheme="majorBidi"/>
          <w:b/>
          <w:bCs/>
          <w:color w:val="000000" w:themeColor="text1"/>
          <w:sz w:val="32"/>
          <w:szCs w:val="32"/>
        </w:rPr>
      </w:pPr>
    </w:p>
    <w:p w14:paraId="2E6BB5CF" w14:textId="66408089" w:rsidR="00A65C67" w:rsidRDefault="00A65C67" w:rsidP="00A65C67">
      <w:pPr>
        <w:contextualSpacing/>
        <w:jc w:val="center"/>
      </w:pPr>
      <w:r>
        <w:t>Ryan Summers</w:t>
      </w:r>
    </w:p>
    <w:p w14:paraId="579A2C9C" w14:textId="32B51C10" w:rsidR="00A65C67" w:rsidRPr="00A65C67" w:rsidRDefault="002E4E96" w:rsidP="00A65C67">
      <w:pPr>
        <w:contextualSpacing/>
        <w:jc w:val="center"/>
      </w:pPr>
      <w:r>
        <w:t>5</w:t>
      </w:r>
      <w:r w:rsidR="00A65C67">
        <w:t>/</w:t>
      </w:r>
      <w:r>
        <w:t>4</w:t>
      </w:r>
      <w:r w:rsidR="00A65C67">
        <w:t>/26</w:t>
      </w:r>
    </w:p>
    <w:p w14:paraId="29FF1C53" w14:textId="77777777" w:rsidR="00A65C67" w:rsidRDefault="00A65C67" w:rsidP="00D22069">
      <w:pPr>
        <w:pStyle w:val="Heading2"/>
        <w:spacing w:before="0" w:after="0" w:line="240" w:lineRule="auto"/>
        <w:contextualSpacing/>
      </w:pPr>
    </w:p>
    <w:p w14:paraId="25ED1446" w14:textId="77777777" w:rsidR="00A65C67" w:rsidRDefault="00A65C67" w:rsidP="00D22069">
      <w:pPr>
        <w:pStyle w:val="Heading2"/>
        <w:spacing w:before="0" w:after="0" w:line="240" w:lineRule="auto"/>
        <w:contextualSpacing/>
      </w:pPr>
    </w:p>
    <w:sdt>
      <w:sdtPr>
        <w:rPr>
          <w:rFonts w:asciiTheme="minorHAnsi" w:eastAsiaTheme="minorHAnsi" w:hAnsiTheme="minorHAnsi" w:cstheme="minorBidi"/>
          <w:b w:val="0"/>
          <w:bCs w:val="0"/>
          <w:color w:val="auto"/>
          <w:kern w:val="2"/>
          <w:sz w:val="24"/>
          <w:szCs w:val="24"/>
          <w14:ligatures w14:val="standardContextual"/>
        </w:rPr>
        <w:id w:val="1857219255"/>
        <w:docPartObj>
          <w:docPartGallery w:val="Table of Contents"/>
          <w:docPartUnique/>
        </w:docPartObj>
      </w:sdtPr>
      <w:sdtEndPr>
        <w:rPr>
          <w:noProof/>
        </w:rPr>
      </w:sdtEndPr>
      <w:sdtContent>
        <w:p w14:paraId="04C86323" w14:textId="77777777" w:rsidR="00E0417E" w:rsidRDefault="00FB3E21" w:rsidP="00FB3E21">
          <w:pPr>
            <w:pStyle w:val="TOCHeading"/>
            <w:rPr>
              <w:noProof/>
            </w:rPr>
          </w:pPr>
          <w:r>
            <w:t>Table of Contents</w:t>
          </w:r>
          <w:r>
            <w:rPr>
              <w:b w:val="0"/>
              <w:bCs w:val="0"/>
            </w:rPr>
            <w:fldChar w:fldCharType="begin"/>
          </w:r>
          <w:r>
            <w:instrText xml:space="preserve"> TOC \o "1-3" \h \z \u </w:instrText>
          </w:r>
          <w:r>
            <w:rPr>
              <w:b w:val="0"/>
              <w:bCs w:val="0"/>
            </w:rPr>
            <w:fldChar w:fldCharType="separate"/>
          </w:r>
        </w:p>
        <w:p w14:paraId="2C5EB28A" w14:textId="45378770" w:rsidR="00E0417E" w:rsidRDefault="00E0417E">
          <w:pPr>
            <w:pStyle w:val="TOC2"/>
            <w:tabs>
              <w:tab w:val="right" w:leader="dot" w:pos="9350"/>
            </w:tabs>
            <w:rPr>
              <w:rFonts w:eastAsiaTheme="minorEastAsia"/>
              <w:b w:val="0"/>
              <w:bCs w:val="0"/>
              <w:noProof/>
              <w:sz w:val="24"/>
              <w:szCs w:val="24"/>
              <w:lang w:eastAsia="zh-CN"/>
            </w:rPr>
          </w:pPr>
          <w:hyperlink w:anchor="_Toc228957658" w:history="1">
            <w:r w:rsidRPr="00523783">
              <w:rPr>
                <w:rStyle w:val="Hyperlink"/>
                <w:noProof/>
              </w:rPr>
              <w:t>1. Introduction</w:t>
            </w:r>
            <w:r>
              <w:rPr>
                <w:noProof/>
                <w:webHidden/>
              </w:rPr>
              <w:tab/>
            </w:r>
            <w:r>
              <w:rPr>
                <w:noProof/>
                <w:webHidden/>
              </w:rPr>
              <w:fldChar w:fldCharType="begin"/>
            </w:r>
            <w:r>
              <w:rPr>
                <w:noProof/>
                <w:webHidden/>
              </w:rPr>
              <w:instrText xml:space="preserve"> PAGEREF _Toc228957658 \h </w:instrText>
            </w:r>
            <w:r>
              <w:rPr>
                <w:noProof/>
                <w:webHidden/>
              </w:rPr>
            </w:r>
            <w:r>
              <w:rPr>
                <w:noProof/>
                <w:webHidden/>
              </w:rPr>
              <w:fldChar w:fldCharType="separate"/>
            </w:r>
            <w:r>
              <w:rPr>
                <w:noProof/>
                <w:webHidden/>
              </w:rPr>
              <w:t>2</w:t>
            </w:r>
            <w:r>
              <w:rPr>
                <w:noProof/>
                <w:webHidden/>
              </w:rPr>
              <w:fldChar w:fldCharType="end"/>
            </w:r>
          </w:hyperlink>
        </w:p>
        <w:p w14:paraId="47F429BB" w14:textId="6A1572A5" w:rsidR="00E0417E" w:rsidRDefault="00E0417E">
          <w:pPr>
            <w:pStyle w:val="TOC2"/>
            <w:tabs>
              <w:tab w:val="right" w:leader="dot" w:pos="9350"/>
            </w:tabs>
            <w:rPr>
              <w:rFonts w:eastAsiaTheme="minorEastAsia"/>
              <w:b w:val="0"/>
              <w:bCs w:val="0"/>
              <w:noProof/>
              <w:sz w:val="24"/>
              <w:szCs w:val="24"/>
              <w:lang w:eastAsia="zh-CN"/>
            </w:rPr>
          </w:pPr>
          <w:hyperlink w:anchor="_Toc228957659" w:history="1">
            <w:r w:rsidRPr="00523783">
              <w:rPr>
                <w:rStyle w:val="Hyperlink"/>
                <w:noProof/>
              </w:rPr>
              <w:t>2. Methods</w:t>
            </w:r>
            <w:r>
              <w:rPr>
                <w:noProof/>
                <w:webHidden/>
              </w:rPr>
              <w:tab/>
            </w:r>
            <w:r>
              <w:rPr>
                <w:noProof/>
                <w:webHidden/>
              </w:rPr>
              <w:fldChar w:fldCharType="begin"/>
            </w:r>
            <w:r>
              <w:rPr>
                <w:noProof/>
                <w:webHidden/>
              </w:rPr>
              <w:instrText xml:space="preserve"> PAGEREF _Toc228957659 \h </w:instrText>
            </w:r>
            <w:r>
              <w:rPr>
                <w:noProof/>
                <w:webHidden/>
              </w:rPr>
            </w:r>
            <w:r>
              <w:rPr>
                <w:noProof/>
                <w:webHidden/>
              </w:rPr>
              <w:fldChar w:fldCharType="separate"/>
            </w:r>
            <w:r>
              <w:rPr>
                <w:noProof/>
                <w:webHidden/>
              </w:rPr>
              <w:t>2</w:t>
            </w:r>
            <w:r>
              <w:rPr>
                <w:noProof/>
                <w:webHidden/>
              </w:rPr>
              <w:fldChar w:fldCharType="end"/>
            </w:r>
          </w:hyperlink>
        </w:p>
        <w:p w14:paraId="7CF1BD5A" w14:textId="3DD6C2F6" w:rsidR="00E0417E" w:rsidRDefault="00E0417E">
          <w:pPr>
            <w:pStyle w:val="TOC2"/>
            <w:tabs>
              <w:tab w:val="right" w:leader="dot" w:pos="9350"/>
            </w:tabs>
            <w:rPr>
              <w:rFonts w:eastAsiaTheme="minorEastAsia"/>
              <w:b w:val="0"/>
              <w:bCs w:val="0"/>
              <w:noProof/>
              <w:sz w:val="24"/>
              <w:szCs w:val="24"/>
              <w:lang w:eastAsia="zh-CN"/>
            </w:rPr>
          </w:pPr>
          <w:hyperlink w:anchor="_Toc228957660" w:history="1">
            <w:r w:rsidRPr="00523783">
              <w:rPr>
                <w:rStyle w:val="Hyperlink"/>
                <w:noProof/>
              </w:rPr>
              <w:t>3. Analysis</w:t>
            </w:r>
            <w:r>
              <w:rPr>
                <w:noProof/>
                <w:webHidden/>
              </w:rPr>
              <w:tab/>
            </w:r>
            <w:r>
              <w:rPr>
                <w:noProof/>
                <w:webHidden/>
              </w:rPr>
              <w:fldChar w:fldCharType="begin"/>
            </w:r>
            <w:r>
              <w:rPr>
                <w:noProof/>
                <w:webHidden/>
              </w:rPr>
              <w:instrText xml:space="preserve"> PAGEREF _Toc228957660 \h </w:instrText>
            </w:r>
            <w:r>
              <w:rPr>
                <w:noProof/>
                <w:webHidden/>
              </w:rPr>
            </w:r>
            <w:r>
              <w:rPr>
                <w:noProof/>
                <w:webHidden/>
              </w:rPr>
              <w:fldChar w:fldCharType="separate"/>
            </w:r>
            <w:r>
              <w:rPr>
                <w:noProof/>
                <w:webHidden/>
              </w:rPr>
              <w:t>4</w:t>
            </w:r>
            <w:r>
              <w:rPr>
                <w:noProof/>
                <w:webHidden/>
              </w:rPr>
              <w:fldChar w:fldCharType="end"/>
            </w:r>
          </w:hyperlink>
        </w:p>
        <w:p w14:paraId="60FA1E67" w14:textId="35129C58" w:rsidR="00E0417E" w:rsidRDefault="00E0417E">
          <w:pPr>
            <w:pStyle w:val="TOC2"/>
            <w:tabs>
              <w:tab w:val="right" w:leader="dot" w:pos="9350"/>
            </w:tabs>
            <w:rPr>
              <w:rFonts w:eastAsiaTheme="minorEastAsia"/>
              <w:b w:val="0"/>
              <w:bCs w:val="0"/>
              <w:noProof/>
              <w:sz w:val="24"/>
              <w:szCs w:val="24"/>
              <w:lang w:eastAsia="zh-CN"/>
            </w:rPr>
          </w:pPr>
          <w:hyperlink w:anchor="_Toc228957661" w:history="1">
            <w:r w:rsidRPr="00523783">
              <w:rPr>
                <w:rStyle w:val="Hyperlink"/>
                <w:noProof/>
              </w:rPr>
              <w:t>4. Results</w:t>
            </w:r>
            <w:r>
              <w:rPr>
                <w:noProof/>
                <w:webHidden/>
              </w:rPr>
              <w:tab/>
            </w:r>
            <w:r>
              <w:rPr>
                <w:noProof/>
                <w:webHidden/>
              </w:rPr>
              <w:fldChar w:fldCharType="begin"/>
            </w:r>
            <w:r>
              <w:rPr>
                <w:noProof/>
                <w:webHidden/>
              </w:rPr>
              <w:instrText xml:space="preserve"> PAGEREF _Toc228957661 \h </w:instrText>
            </w:r>
            <w:r>
              <w:rPr>
                <w:noProof/>
                <w:webHidden/>
              </w:rPr>
            </w:r>
            <w:r>
              <w:rPr>
                <w:noProof/>
                <w:webHidden/>
              </w:rPr>
              <w:fldChar w:fldCharType="separate"/>
            </w:r>
            <w:r>
              <w:rPr>
                <w:noProof/>
                <w:webHidden/>
              </w:rPr>
              <w:t>4</w:t>
            </w:r>
            <w:r>
              <w:rPr>
                <w:noProof/>
                <w:webHidden/>
              </w:rPr>
              <w:fldChar w:fldCharType="end"/>
            </w:r>
          </w:hyperlink>
        </w:p>
        <w:p w14:paraId="766D473B" w14:textId="19BA862C" w:rsidR="00E0417E" w:rsidRDefault="00E0417E">
          <w:pPr>
            <w:pStyle w:val="TOC2"/>
            <w:tabs>
              <w:tab w:val="right" w:leader="dot" w:pos="9350"/>
            </w:tabs>
            <w:rPr>
              <w:rFonts w:eastAsiaTheme="minorEastAsia"/>
              <w:b w:val="0"/>
              <w:bCs w:val="0"/>
              <w:noProof/>
              <w:sz w:val="24"/>
              <w:szCs w:val="24"/>
              <w:lang w:eastAsia="zh-CN"/>
            </w:rPr>
          </w:pPr>
          <w:hyperlink w:anchor="_Toc228957662" w:history="1">
            <w:r w:rsidRPr="00523783">
              <w:rPr>
                <w:rStyle w:val="Hyperlink"/>
                <w:noProof/>
              </w:rPr>
              <w:t>References</w:t>
            </w:r>
            <w:r>
              <w:rPr>
                <w:noProof/>
                <w:webHidden/>
              </w:rPr>
              <w:tab/>
            </w:r>
            <w:r>
              <w:rPr>
                <w:noProof/>
                <w:webHidden/>
              </w:rPr>
              <w:fldChar w:fldCharType="begin"/>
            </w:r>
            <w:r>
              <w:rPr>
                <w:noProof/>
                <w:webHidden/>
              </w:rPr>
              <w:instrText xml:space="preserve"> PAGEREF _Toc228957662 \h </w:instrText>
            </w:r>
            <w:r>
              <w:rPr>
                <w:noProof/>
                <w:webHidden/>
              </w:rPr>
            </w:r>
            <w:r>
              <w:rPr>
                <w:noProof/>
                <w:webHidden/>
              </w:rPr>
              <w:fldChar w:fldCharType="separate"/>
            </w:r>
            <w:r>
              <w:rPr>
                <w:noProof/>
                <w:webHidden/>
              </w:rPr>
              <w:t>5</w:t>
            </w:r>
            <w:r>
              <w:rPr>
                <w:noProof/>
                <w:webHidden/>
              </w:rPr>
              <w:fldChar w:fldCharType="end"/>
            </w:r>
          </w:hyperlink>
        </w:p>
        <w:p w14:paraId="0631DA06" w14:textId="4B5F157E" w:rsidR="00FB3E21" w:rsidRDefault="00FB3E21">
          <w:r>
            <w:rPr>
              <w:b/>
              <w:bCs/>
              <w:noProof/>
            </w:rPr>
            <w:fldChar w:fldCharType="end"/>
          </w:r>
        </w:p>
      </w:sdtContent>
    </w:sdt>
    <w:p w14:paraId="207944E0" w14:textId="77777777" w:rsidR="00A65C67" w:rsidRDefault="00A65C67" w:rsidP="00D22069">
      <w:pPr>
        <w:pStyle w:val="Heading2"/>
        <w:spacing w:before="0" w:after="0" w:line="240" w:lineRule="auto"/>
        <w:contextualSpacing/>
      </w:pPr>
    </w:p>
    <w:p w14:paraId="1E3ED52F" w14:textId="77777777" w:rsidR="00A65C67" w:rsidRDefault="00A65C67" w:rsidP="00D22069">
      <w:pPr>
        <w:pStyle w:val="Heading2"/>
        <w:spacing w:before="0" w:after="0" w:line="240" w:lineRule="auto"/>
        <w:contextualSpacing/>
      </w:pPr>
    </w:p>
    <w:p w14:paraId="570C93E9" w14:textId="77777777" w:rsidR="00A65C67" w:rsidRDefault="00A65C67" w:rsidP="00D22069">
      <w:pPr>
        <w:pStyle w:val="Heading2"/>
        <w:spacing w:before="0" w:after="0" w:line="240" w:lineRule="auto"/>
        <w:contextualSpacing/>
      </w:pPr>
    </w:p>
    <w:p w14:paraId="63ACC68D" w14:textId="77777777" w:rsidR="00A65C67" w:rsidRDefault="00A65C67" w:rsidP="00D22069">
      <w:pPr>
        <w:pStyle w:val="Heading2"/>
        <w:spacing w:before="0" w:after="0" w:line="240" w:lineRule="auto"/>
        <w:contextualSpacing/>
      </w:pPr>
    </w:p>
    <w:p w14:paraId="0D1175E4" w14:textId="77777777" w:rsidR="00A65C67" w:rsidRDefault="00A65C67" w:rsidP="00D22069">
      <w:pPr>
        <w:pStyle w:val="Heading2"/>
        <w:spacing w:before="0" w:after="0" w:line="240" w:lineRule="auto"/>
        <w:contextualSpacing/>
      </w:pPr>
    </w:p>
    <w:p w14:paraId="6F38A83C" w14:textId="77777777" w:rsidR="00D22069" w:rsidRDefault="00D22069" w:rsidP="00656BA2">
      <w:pPr>
        <w:pStyle w:val="Heading2"/>
      </w:pPr>
    </w:p>
    <w:p w14:paraId="20531653" w14:textId="77777777" w:rsidR="00D22069" w:rsidRDefault="00D22069" w:rsidP="00D22069"/>
    <w:p w14:paraId="54CCE2CD" w14:textId="77777777" w:rsidR="00D22069" w:rsidRPr="00D22069" w:rsidRDefault="00D22069" w:rsidP="00D22069"/>
    <w:p w14:paraId="10F1B6C3" w14:textId="77777777" w:rsidR="00C02AA1" w:rsidRDefault="00C02AA1" w:rsidP="00656BA2">
      <w:pPr>
        <w:pStyle w:val="Heading2"/>
      </w:pPr>
    </w:p>
    <w:p w14:paraId="5CD86823" w14:textId="77777777" w:rsidR="00C02AA1" w:rsidRDefault="00C02AA1" w:rsidP="00656BA2">
      <w:pPr>
        <w:pStyle w:val="Heading2"/>
      </w:pPr>
      <w:bookmarkStart w:id="5" w:name="_Toc221895315"/>
    </w:p>
    <w:p w14:paraId="6554FDF8" w14:textId="77777777" w:rsidR="00C02AA1" w:rsidRDefault="00C02AA1" w:rsidP="00C02AA1"/>
    <w:p w14:paraId="2913118D" w14:textId="77777777" w:rsidR="00696B01" w:rsidRPr="00696B01" w:rsidRDefault="00696B01" w:rsidP="00696B01">
      <w:bookmarkStart w:id="6" w:name="_Toc221895380"/>
    </w:p>
    <w:bookmarkEnd w:id="5"/>
    <w:bookmarkEnd w:id="6"/>
    <w:p w14:paraId="5408A8C1" w14:textId="5823A633" w:rsidR="00FA17EA" w:rsidRDefault="00FA17EA" w:rsidP="00FA17EA">
      <w:pPr>
        <w:pStyle w:val="Heading2"/>
      </w:pPr>
      <w:r>
        <w:lastRenderedPageBreak/>
        <w:t>1</w:t>
      </w:r>
      <w:r>
        <w:t xml:space="preserve">. </w:t>
      </w:r>
      <w:r>
        <w:t>Introduction</w:t>
      </w:r>
    </w:p>
    <w:p w14:paraId="7DA869D1" w14:textId="45966615" w:rsidR="00FA17EA" w:rsidRDefault="00FA17EA" w:rsidP="00FA17EA">
      <w:pPr>
        <w:pStyle w:val="p1"/>
        <w:spacing w:line="480" w:lineRule="auto"/>
      </w:pPr>
      <w:r>
        <w:t xml:space="preserve">Simulation studies allow statistical methods to be evaluated under controlled conditions. This project investigates the performance of several variable selection methods in linear regression under varying sample sizes and predictor correlation structures. Methods include backward selection using p-values, </w:t>
      </w:r>
      <w:r w:rsidRPr="00C26FF0">
        <w:t xml:space="preserve">Akaike Information Criterion </w:t>
      </w:r>
      <w:r>
        <w:t>(</w:t>
      </w:r>
      <w:r>
        <w:t>AIC</w:t>
      </w:r>
      <w:r>
        <w:t>)</w:t>
      </w:r>
      <w:r>
        <w:t xml:space="preserve">, and </w:t>
      </w:r>
      <w:r w:rsidRPr="00C26FF0">
        <w:t xml:space="preserve">Bayesian Information Criterion </w:t>
      </w:r>
      <w:r>
        <w:t>(</w:t>
      </w:r>
      <w:r>
        <w:t>BIC</w:t>
      </w:r>
      <w:r>
        <w:t>)</w:t>
      </w:r>
      <w:r>
        <w:t xml:space="preserve">, along with penalized regression approaches including LASSO and </w:t>
      </w:r>
      <w:r>
        <w:t>Elastic Net (</w:t>
      </w:r>
      <w:proofErr w:type="spellStart"/>
      <w:r>
        <w:t>ElNet</w:t>
      </w:r>
      <w:proofErr w:type="spellEnd"/>
      <w:r>
        <w:t>)</w:t>
      </w:r>
      <w:r>
        <w:t xml:space="preserve">. Performance is evaluated using variable selection accuracy, bias, confidence interval </w:t>
      </w:r>
      <w:r w:rsidR="00EA3500">
        <w:t xml:space="preserve">(CI) </w:t>
      </w:r>
      <w:r>
        <w:t>coverage, and type I and II error rates. Th</w:t>
      </w:r>
      <w:r w:rsidR="0026233A">
        <w:t xml:space="preserve">is project </w:t>
      </w:r>
      <w:r>
        <w:t>follows the ADEMP framework proposed by Morris et al. (2018).</w:t>
      </w:r>
    </w:p>
    <w:p w14:paraId="334D230F" w14:textId="374050F8" w:rsidR="0075402C" w:rsidRDefault="002C349F" w:rsidP="00A419C8">
      <w:pPr>
        <w:pStyle w:val="Heading2"/>
      </w:pPr>
      <w:bookmarkStart w:id="7" w:name="_Toc221895316"/>
      <w:bookmarkStart w:id="8" w:name="_Toc221895381"/>
      <w:bookmarkStart w:id="9" w:name="_Toc228957659"/>
      <w:r>
        <w:t xml:space="preserve">2. </w:t>
      </w:r>
      <w:r w:rsidR="006D1CA8" w:rsidRPr="00A966DB">
        <w:t>Methods</w:t>
      </w:r>
      <w:bookmarkEnd w:id="7"/>
      <w:bookmarkEnd w:id="8"/>
      <w:bookmarkEnd w:id="9"/>
    </w:p>
    <w:p w14:paraId="6EAA1B81" w14:textId="1DE7D92A" w:rsidR="00261BE0" w:rsidRDefault="006E0C0F" w:rsidP="00D732A8">
      <w:pPr>
        <w:pStyle w:val="Heading4"/>
        <w:rPr>
          <w:sz w:val="26"/>
          <w:szCs w:val="26"/>
        </w:rPr>
      </w:pPr>
      <w:r w:rsidRPr="00D732A8">
        <w:rPr>
          <w:sz w:val="26"/>
          <w:szCs w:val="26"/>
        </w:rPr>
        <w:t>2.1 Data</w:t>
      </w:r>
      <w:r w:rsidR="00F26A49">
        <w:rPr>
          <w:sz w:val="26"/>
          <w:szCs w:val="26"/>
        </w:rPr>
        <w:t>-generating Mechanism</w:t>
      </w:r>
    </w:p>
    <w:p w14:paraId="7CBD0BC8" w14:textId="4F4E5C49" w:rsidR="00377AF5" w:rsidRDefault="00377AF5" w:rsidP="00D36A0B">
      <w:pPr>
        <w:spacing w:line="480" w:lineRule="auto"/>
        <w:rPr>
          <w:rFonts w:ascii="Times New Roman" w:hAnsi="Times New Roman" w:cs="Times New Roman"/>
        </w:rPr>
      </w:pPr>
      <w:r w:rsidRPr="00C26FF0">
        <w:rPr>
          <w:rFonts w:ascii="Times New Roman" w:hAnsi="Times New Roman" w:cs="Times New Roman"/>
        </w:rPr>
        <w:t xml:space="preserve">Data will be generated using the </w:t>
      </w:r>
      <w:proofErr w:type="spellStart"/>
      <w:r w:rsidRPr="00C26FF0">
        <w:rPr>
          <w:rFonts w:ascii="Times New Roman" w:hAnsi="Times New Roman" w:cs="Times New Roman"/>
        </w:rPr>
        <w:t>hdrm</w:t>
      </w:r>
      <w:proofErr w:type="spellEnd"/>
      <w:r w:rsidRPr="00C26FF0">
        <w:rPr>
          <w:rFonts w:ascii="Times New Roman" w:hAnsi="Times New Roman" w:cs="Times New Roman"/>
        </w:rPr>
        <w:t xml:space="preserve"> package (Breheny, 2025) under the </w:t>
      </w:r>
      <w:r w:rsidR="003A3A12">
        <w:rPr>
          <w:rFonts w:ascii="Times New Roman" w:hAnsi="Times New Roman" w:cs="Times New Roman"/>
        </w:rPr>
        <w:t xml:space="preserve">linear regression model </w:t>
      </w:r>
      <w:r w:rsidR="00FE378F">
        <w:rPr>
          <w:rFonts w:ascii="Times New Roman" w:hAnsi="Times New Roman" w:cs="Times New Roman"/>
        </w:rPr>
        <w:t>framework</w:t>
      </w:r>
      <w:r w:rsidR="003A3A12">
        <w:rPr>
          <w:rFonts w:ascii="Times New Roman" w:hAnsi="Times New Roman" w:cs="Times New Roman"/>
        </w:rPr>
        <w:t xml:space="preserve"> </w:t>
      </w:r>
      <w:r w:rsidRPr="00C26FF0">
        <w:rPr>
          <w:rFonts w:ascii="Times New Roman" w:hAnsi="Times New Roman" w:cs="Times New Roman"/>
        </w:rPr>
        <w:t xml:space="preserve">Y = Xβ + ε, where X is an Nx20 matrix and ε ~ N(0, σ²). Five predictors are truly associated, with coefficients β = (0.5/3, 1/3, 1.5/3, 2/3, 2.5/3), while the remaining 15 are null. An exchangeable correlation structure will be imposed at ρ </w:t>
      </w:r>
      <w:r w:rsidRPr="00C26FF0">
        <w:rPr>
          <w:rFonts w:ascii="Cambria Math" w:hAnsi="Cambria Math" w:cs="Cambria Math"/>
        </w:rPr>
        <w:t>∈</w:t>
      </w:r>
      <w:r w:rsidRPr="00C26FF0">
        <w:rPr>
          <w:rFonts w:ascii="Times New Roman" w:hAnsi="Times New Roman" w:cs="Times New Roman"/>
        </w:rPr>
        <w:t xml:space="preserve"> {0, 0.35, 0.70}, crossed with sample sizes N </w:t>
      </w:r>
      <w:r w:rsidRPr="00C26FF0">
        <w:rPr>
          <w:rFonts w:ascii="Cambria Math" w:hAnsi="Cambria Math" w:cs="Cambria Math"/>
        </w:rPr>
        <w:t>∈</w:t>
      </w:r>
      <w:r w:rsidRPr="00C26FF0">
        <w:rPr>
          <w:rFonts w:ascii="Times New Roman" w:hAnsi="Times New Roman" w:cs="Times New Roman"/>
        </w:rPr>
        <w:t xml:space="preserve"> {250, 500}, yielding six scenarios each replicated 10,000 times.</w:t>
      </w:r>
      <w:r w:rsidR="008F4100">
        <w:rPr>
          <w:rFonts w:ascii="Times New Roman" w:hAnsi="Times New Roman" w:cs="Times New Roman"/>
        </w:rPr>
        <w:t xml:space="preserve"> </w:t>
      </w:r>
      <w:r w:rsidR="009755DE">
        <w:rPr>
          <w:rFonts w:ascii="Times New Roman" w:hAnsi="Times New Roman" w:cs="Times New Roman"/>
        </w:rPr>
        <w:t>Using</w:t>
      </w:r>
      <w:r w:rsidR="009755DE" w:rsidRPr="009755DE">
        <w:rPr>
          <w:rFonts w:ascii="Times New Roman" w:hAnsi="Times New Roman" w:cs="Times New Roman"/>
        </w:rPr>
        <w:t xml:space="preserve"> 10,000 replications, the Monte Carlo standard error for binary</w:t>
      </w:r>
      <w:r w:rsidR="00DD7F91">
        <w:rPr>
          <w:rFonts w:ascii="Times New Roman" w:hAnsi="Times New Roman" w:cs="Times New Roman"/>
        </w:rPr>
        <w:t xml:space="preserve"> or proportion-based</w:t>
      </w:r>
      <w:r w:rsidR="009755DE" w:rsidRPr="009755DE">
        <w:rPr>
          <w:rFonts w:ascii="Times New Roman" w:hAnsi="Times New Roman" w:cs="Times New Roman"/>
        </w:rPr>
        <w:t xml:space="preserve"> </w:t>
      </w:r>
      <w:r w:rsidR="009755DE">
        <w:rPr>
          <w:rFonts w:ascii="Times New Roman" w:hAnsi="Times New Roman" w:cs="Times New Roman"/>
        </w:rPr>
        <w:t>metrics</w:t>
      </w:r>
      <w:r w:rsidR="00DD7F91">
        <w:rPr>
          <w:rFonts w:ascii="Times New Roman" w:hAnsi="Times New Roman" w:cs="Times New Roman"/>
        </w:rPr>
        <w:t xml:space="preserve"> </w:t>
      </w:r>
      <w:r w:rsidR="009755DE" w:rsidRPr="009755DE">
        <w:rPr>
          <w:rFonts w:ascii="Times New Roman" w:hAnsi="Times New Roman" w:cs="Times New Roman"/>
        </w:rPr>
        <w:t xml:space="preserve">is approximately 0.005 in the worst case (p=0.50) and approximately 0.002 for </w:t>
      </w:r>
      <w:r w:rsidR="00DD7F91">
        <w:rPr>
          <w:rFonts w:ascii="Times New Roman" w:hAnsi="Times New Roman" w:cs="Times New Roman"/>
        </w:rPr>
        <w:t>measures near</w:t>
      </w:r>
      <w:r w:rsidR="009755DE" w:rsidRPr="009755DE">
        <w:rPr>
          <w:rFonts w:ascii="Times New Roman" w:hAnsi="Times New Roman" w:cs="Times New Roman"/>
        </w:rPr>
        <w:t xml:space="preserve"> </w:t>
      </w:r>
      <w:r w:rsidR="00DD7F91">
        <w:rPr>
          <w:rFonts w:ascii="Times New Roman" w:hAnsi="Times New Roman" w:cs="Times New Roman"/>
        </w:rPr>
        <w:t>0.95</w:t>
      </w:r>
      <w:r w:rsidR="009755DE" w:rsidRPr="009755DE">
        <w:rPr>
          <w:rFonts w:ascii="Times New Roman" w:hAnsi="Times New Roman" w:cs="Times New Roman"/>
        </w:rPr>
        <w:t xml:space="preserve"> </w:t>
      </w:r>
      <w:r w:rsidR="00DD7F91">
        <w:rPr>
          <w:rFonts w:ascii="Times New Roman" w:hAnsi="Times New Roman" w:cs="Times New Roman"/>
        </w:rPr>
        <w:t>or 0.05, such as coverage and type I error</w:t>
      </w:r>
      <w:r w:rsidR="009755DE" w:rsidRPr="009755DE">
        <w:rPr>
          <w:rFonts w:ascii="Times New Roman" w:hAnsi="Times New Roman" w:cs="Times New Roman"/>
        </w:rPr>
        <w:t>.</w:t>
      </w:r>
      <w:r w:rsidR="009755DE">
        <w:rPr>
          <w:rFonts w:ascii="Times New Roman" w:hAnsi="Times New Roman" w:cs="Times New Roman"/>
        </w:rPr>
        <w:t xml:space="preserve"> </w:t>
      </w:r>
      <w:r w:rsidR="009755DE" w:rsidRPr="009755DE">
        <w:rPr>
          <w:rFonts w:ascii="Times New Roman" w:hAnsi="Times New Roman" w:cs="Times New Roman"/>
        </w:rPr>
        <w:t>Therefore, only differences exceeding these magnitudes should be interpreted as meaningful method differences</w:t>
      </w:r>
      <w:r w:rsidR="0029593D">
        <w:rPr>
          <w:rFonts w:ascii="Times New Roman" w:hAnsi="Times New Roman" w:cs="Times New Roman"/>
        </w:rPr>
        <w:t>.</w:t>
      </w:r>
    </w:p>
    <w:p w14:paraId="3705FD66" w14:textId="77777777" w:rsidR="00DD7F91" w:rsidRPr="00C26FF0" w:rsidRDefault="00DD7F91" w:rsidP="00D36A0B">
      <w:pPr>
        <w:spacing w:line="480" w:lineRule="auto"/>
        <w:rPr>
          <w:rFonts w:ascii="Times New Roman" w:hAnsi="Times New Roman" w:cs="Times New Roman"/>
        </w:rPr>
      </w:pPr>
    </w:p>
    <w:p w14:paraId="2390F80D" w14:textId="6FE95192" w:rsidR="009A59F5" w:rsidRDefault="006E0C0F" w:rsidP="00373813">
      <w:pPr>
        <w:pStyle w:val="Heading4"/>
        <w:rPr>
          <w:sz w:val="26"/>
          <w:szCs w:val="26"/>
        </w:rPr>
      </w:pPr>
      <w:r w:rsidRPr="00D732A8">
        <w:rPr>
          <w:sz w:val="26"/>
          <w:szCs w:val="26"/>
        </w:rPr>
        <w:lastRenderedPageBreak/>
        <w:t xml:space="preserve">2.2 </w:t>
      </w:r>
      <w:r w:rsidR="00EE2724">
        <w:rPr>
          <w:sz w:val="26"/>
          <w:szCs w:val="26"/>
        </w:rPr>
        <w:t>Variable Selection Methods</w:t>
      </w:r>
    </w:p>
    <w:p w14:paraId="3F8C5F67" w14:textId="0D67E0EF" w:rsidR="00166902" w:rsidRPr="00C26FF0" w:rsidRDefault="00166902" w:rsidP="00D36A0B">
      <w:pPr>
        <w:spacing w:line="480" w:lineRule="auto"/>
        <w:rPr>
          <w:rFonts w:ascii="Times New Roman" w:hAnsi="Times New Roman" w:cs="Times New Roman"/>
        </w:rPr>
      </w:pPr>
      <w:r w:rsidRPr="00C26FF0">
        <w:rPr>
          <w:rFonts w:ascii="Times New Roman" w:hAnsi="Times New Roman" w:cs="Times New Roman"/>
        </w:rPr>
        <w:t xml:space="preserve">All 20 predictors will initially be included in a full model. Two </w:t>
      </w:r>
      <w:r w:rsidR="002E1632">
        <w:rPr>
          <w:rFonts w:ascii="Times New Roman" w:hAnsi="Times New Roman" w:cs="Times New Roman"/>
        </w:rPr>
        <w:t>classes</w:t>
      </w:r>
      <w:r w:rsidRPr="00C26FF0">
        <w:rPr>
          <w:rFonts w:ascii="Times New Roman" w:hAnsi="Times New Roman" w:cs="Times New Roman"/>
        </w:rPr>
        <w:t xml:space="preserve"> of variables selection methods will be reviewed. The first is backward selection, where it iteratively removes a variable by largest p-value (α = 0.1</w:t>
      </w:r>
      <w:r w:rsidR="0005216D">
        <w:rPr>
          <w:rFonts w:ascii="Times New Roman" w:hAnsi="Times New Roman" w:cs="Times New Roman"/>
        </w:rPr>
        <w:t>0</w:t>
      </w:r>
      <w:r w:rsidRPr="00C26FF0">
        <w:rPr>
          <w:rFonts w:ascii="Times New Roman" w:hAnsi="Times New Roman" w:cs="Times New Roman"/>
        </w:rPr>
        <w:t xml:space="preserve">), or by minimizing AIC or BIC.  </w:t>
      </w:r>
      <w:r w:rsidR="00F50285">
        <w:rPr>
          <w:rFonts w:ascii="Times New Roman" w:hAnsi="Times New Roman" w:cs="Times New Roman"/>
        </w:rPr>
        <w:t>The alpha level of 0.10 was chosen  due to literature stating that 0.157 is equivalent to AIC (</w:t>
      </w:r>
      <w:r w:rsidR="00F50285" w:rsidRPr="00F50285">
        <w:rPr>
          <w:rFonts w:ascii="Times New Roman" w:hAnsi="Times New Roman" w:cs="Times New Roman"/>
        </w:rPr>
        <w:t>Lindsey &amp; Jones 1998</w:t>
      </w:r>
      <w:r w:rsidR="00F50285">
        <w:rPr>
          <w:rFonts w:ascii="Times New Roman" w:hAnsi="Times New Roman" w:cs="Times New Roman"/>
        </w:rPr>
        <w:t xml:space="preserve">). </w:t>
      </w:r>
      <w:r w:rsidRPr="00C26FF0">
        <w:rPr>
          <w:rFonts w:ascii="Times New Roman" w:hAnsi="Times New Roman" w:cs="Times New Roman"/>
        </w:rPr>
        <w:t xml:space="preserve">The second method is penalized regression methods. These include LASSO, which can shrink coefficients exactly to zero using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C26FF0">
        <w:rPr>
          <w:rFonts w:ascii="Times New Roman" w:hAnsi="Times New Roman" w:cs="Times New Roman"/>
        </w:rPr>
        <w:t xml:space="preserve">  penalty and elastic net, which combines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C26FF0">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oMath>
      <w:r w:rsidRPr="00C26FF0">
        <w:rPr>
          <w:rFonts w:ascii="Times New Roman" w:hAnsi="Times New Roman" w:cs="Times New Roman"/>
        </w:rPr>
        <w:t xml:space="preserve"> penalties and is said to be more useful when predictors are strongly correlated.</w:t>
      </w:r>
    </w:p>
    <w:p w14:paraId="0400B14C" w14:textId="59DD0CE6" w:rsidR="00FF5F93" w:rsidRPr="00C26FF0" w:rsidRDefault="00166902" w:rsidP="00D36A0B">
      <w:pPr>
        <w:spacing w:line="480" w:lineRule="auto"/>
        <w:rPr>
          <w:rFonts w:ascii="Times New Roman" w:hAnsi="Times New Roman" w:cs="Times New Roman"/>
        </w:rPr>
      </w:pPr>
      <w:r w:rsidRPr="00C26FF0">
        <w:rPr>
          <w:rFonts w:ascii="Times New Roman" w:hAnsi="Times New Roman" w:cs="Times New Roman"/>
        </w:rPr>
        <w:t xml:space="preserve">For both LASSO and elastic net, the tuning parameter lambda will be selected by using 10-fold cross-validation, and two lambdas will be investigated, one that minimizes CV prediction error </w:t>
      </w:r>
      <w:r w:rsidRPr="00C26FF0">
        <w:rPr>
          <w:rFonts w:ascii="Times New Roman" w:eastAsiaTheme="minorEastAsia" w:hAnsi="Times New Roman" w:cs="Times New Roman"/>
        </w:rPr>
        <w:t>(</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min</m:t>
            </m:r>
          </m:sub>
        </m:sSub>
      </m:oMath>
      <w:r w:rsidRPr="00C26FF0">
        <w:rPr>
          <w:rFonts w:ascii="Times New Roman" w:hAnsi="Times New Roman" w:cs="Times New Roman"/>
        </w:rPr>
        <w:t>) and a more conservative choice within 1 SE of that minimum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1se</m:t>
            </m:r>
          </m:sub>
        </m:sSub>
      </m:oMath>
      <w:r w:rsidRPr="00C26FF0">
        <w:rPr>
          <w:rFonts w:ascii="Times New Roman" w:hAnsi="Times New Roman" w:cs="Times New Roman"/>
        </w:rPr>
        <w:t>).</w:t>
      </w:r>
    </w:p>
    <w:p w14:paraId="265D6B8B" w14:textId="0F52B383" w:rsidR="00F26A49" w:rsidRDefault="00F26A49" w:rsidP="00F26A49">
      <w:pPr>
        <w:pStyle w:val="Heading4"/>
        <w:rPr>
          <w:sz w:val="26"/>
          <w:szCs w:val="26"/>
        </w:rPr>
      </w:pPr>
      <w:r w:rsidRPr="00D732A8">
        <w:rPr>
          <w:sz w:val="26"/>
          <w:szCs w:val="26"/>
        </w:rPr>
        <w:t>2.</w:t>
      </w:r>
      <w:r>
        <w:rPr>
          <w:sz w:val="26"/>
          <w:szCs w:val="26"/>
        </w:rPr>
        <w:t>4</w:t>
      </w:r>
      <w:r w:rsidRPr="00D732A8">
        <w:rPr>
          <w:sz w:val="26"/>
          <w:szCs w:val="26"/>
        </w:rPr>
        <w:t xml:space="preserve"> </w:t>
      </w:r>
      <w:r>
        <w:rPr>
          <w:sz w:val="26"/>
          <w:szCs w:val="26"/>
        </w:rPr>
        <w:t>Performance Measures</w:t>
      </w:r>
    </w:p>
    <w:p w14:paraId="66C02EF2" w14:textId="38C15078" w:rsidR="00377AF5" w:rsidRPr="00C26FF0" w:rsidRDefault="00377AF5" w:rsidP="00D36A0B">
      <w:pPr>
        <w:spacing w:line="480" w:lineRule="auto"/>
        <w:rPr>
          <w:rFonts w:ascii="Times New Roman" w:hAnsi="Times New Roman" w:cs="Times New Roman"/>
        </w:rPr>
      </w:pPr>
      <w:bookmarkStart w:id="10" w:name="_Toc221895317"/>
      <w:bookmarkStart w:id="11" w:name="_Toc221895382"/>
      <w:bookmarkStart w:id="12" w:name="_Toc228957660"/>
      <w:r w:rsidRPr="00C26FF0">
        <w:rPr>
          <w:rFonts w:ascii="Times New Roman" w:hAnsi="Times New Roman" w:cs="Times New Roman"/>
        </w:rPr>
        <w:t xml:space="preserve">Methods </w:t>
      </w:r>
      <w:r w:rsidR="00605E4A">
        <w:rPr>
          <w:rFonts w:ascii="Times New Roman" w:hAnsi="Times New Roman" w:cs="Times New Roman"/>
        </w:rPr>
        <w:t>were</w:t>
      </w:r>
      <w:r w:rsidRPr="00C26FF0">
        <w:rPr>
          <w:rFonts w:ascii="Times New Roman" w:hAnsi="Times New Roman" w:cs="Times New Roman"/>
        </w:rPr>
        <w:t xml:space="preserve"> evaluated on true</w:t>
      </w:r>
      <w:r w:rsidR="007F791C">
        <w:rPr>
          <w:rFonts w:ascii="Times New Roman" w:hAnsi="Times New Roman" w:cs="Times New Roman"/>
        </w:rPr>
        <w:t xml:space="preserve"> positive rates (TPR)</w:t>
      </w:r>
      <w:r w:rsidRPr="00C26FF0">
        <w:rPr>
          <w:rFonts w:ascii="Times New Roman" w:hAnsi="Times New Roman" w:cs="Times New Roman"/>
        </w:rPr>
        <w:t xml:space="preserve"> and false positive rates</w:t>
      </w:r>
      <w:r w:rsidR="007F791C">
        <w:rPr>
          <w:rFonts w:ascii="Times New Roman" w:hAnsi="Times New Roman" w:cs="Times New Roman"/>
        </w:rPr>
        <w:t xml:space="preserve"> (FPR)</w:t>
      </w:r>
      <w:r w:rsidRPr="00C26FF0">
        <w:rPr>
          <w:rFonts w:ascii="Times New Roman" w:hAnsi="Times New Roman" w:cs="Times New Roman"/>
        </w:rPr>
        <w:t>, specificity, and confusion matrices. For retained true predictors, bias, 95% CI coverage, and type I/II error rates are reported. Coverage of 95% CIs will be evaluated across all variables (20). For selected variables, coverage is determined by whether the CI contains the true parameter. For non-selected variables, coefficients are treated as zero and failure to select a true predictor is counted as non-coverage. Correctly excluding null predictors is considered coverage.</w:t>
      </w:r>
      <w:r w:rsidR="00020714" w:rsidRPr="00020714">
        <w:rPr>
          <w:rFonts w:ascii="Times New Roman" w:eastAsia="Times New Roman" w:hAnsi="Times New Roman" w:cs="Times New Roman"/>
          <w:kern w:val="0"/>
          <w14:ligatures w14:val="none"/>
        </w:rPr>
        <w:t xml:space="preserve"> </w:t>
      </w:r>
      <w:r w:rsidR="00020714" w:rsidRPr="00020714">
        <w:rPr>
          <w:rFonts w:ascii="Times New Roman" w:hAnsi="Times New Roman" w:cs="Times New Roman"/>
        </w:rPr>
        <w:t xml:space="preserve">This unconditional </w:t>
      </w:r>
      <w:r w:rsidR="00020714">
        <w:rPr>
          <w:rFonts w:ascii="Times New Roman" w:hAnsi="Times New Roman" w:cs="Times New Roman"/>
        </w:rPr>
        <w:t>approach</w:t>
      </w:r>
      <w:r w:rsidR="00020714" w:rsidRPr="00020714">
        <w:rPr>
          <w:rFonts w:ascii="Times New Roman" w:hAnsi="Times New Roman" w:cs="Times New Roman"/>
        </w:rPr>
        <w:t xml:space="preserve"> was </w:t>
      </w:r>
      <w:r w:rsidR="002B7208" w:rsidRPr="002B7208">
        <w:rPr>
          <w:rFonts w:ascii="Times New Roman" w:hAnsi="Times New Roman" w:cs="Times New Roman"/>
        </w:rPr>
        <w:t xml:space="preserve">chosen so that </w:t>
      </w:r>
      <w:r w:rsidR="0098337D">
        <w:rPr>
          <w:rFonts w:ascii="Times New Roman" w:hAnsi="Times New Roman" w:cs="Times New Roman"/>
        </w:rPr>
        <w:t>CI coverage and bias</w:t>
      </w:r>
      <w:r w:rsidR="002B7208" w:rsidRPr="002B7208">
        <w:rPr>
          <w:rFonts w:ascii="Times New Roman" w:hAnsi="Times New Roman" w:cs="Times New Roman"/>
        </w:rPr>
        <w:t xml:space="preserve"> reflected the full </w:t>
      </w:r>
      <w:r w:rsidR="009403F9">
        <w:rPr>
          <w:rFonts w:ascii="Times New Roman" w:hAnsi="Times New Roman" w:cs="Times New Roman"/>
        </w:rPr>
        <w:t>variable</w:t>
      </w:r>
      <w:r w:rsidR="002B7208" w:rsidRPr="002B7208">
        <w:rPr>
          <w:rFonts w:ascii="Times New Roman" w:hAnsi="Times New Roman" w:cs="Times New Roman"/>
        </w:rPr>
        <w:t xml:space="preserve"> selection process, </w:t>
      </w:r>
      <w:r w:rsidR="00AD5484" w:rsidRPr="00AD5484">
        <w:rPr>
          <w:rFonts w:ascii="Times New Roman" w:hAnsi="Times New Roman" w:cs="Times New Roman"/>
        </w:rPr>
        <w:t>since predictors not retained in the final model were effectively assigned coefficient estimates of zero</w:t>
      </w:r>
      <w:r w:rsidR="002B7208" w:rsidRPr="002B7208">
        <w:rPr>
          <w:rFonts w:ascii="Times New Roman" w:hAnsi="Times New Roman" w:cs="Times New Roman"/>
        </w:rPr>
        <w:t>.</w:t>
      </w:r>
    </w:p>
    <w:p w14:paraId="2C0E2E17" w14:textId="45F05F3B" w:rsidR="00B62CA2" w:rsidRDefault="002C349F" w:rsidP="00C968BE">
      <w:pPr>
        <w:pStyle w:val="Heading2"/>
      </w:pPr>
      <w:r>
        <w:lastRenderedPageBreak/>
        <w:t xml:space="preserve">3. </w:t>
      </w:r>
      <w:bookmarkEnd w:id="10"/>
      <w:bookmarkEnd w:id="11"/>
      <w:r w:rsidR="00F26A49">
        <w:t>Analysis</w:t>
      </w:r>
      <w:bookmarkEnd w:id="12"/>
      <w:r w:rsidR="00F26A49">
        <w:t xml:space="preserve"> </w:t>
      </w:r>
    </w:p>
    <w:p w14:paraId="4E105FBE" w14:textId="77777777" w:rsidR="00733D52" w:rsidRPr="00C26FF0" w:rsidRDefault="00733D52" w:rsidP="00D36A0B">
      <w:pPr>
        <w:spacing w:line="480" w:lineRule="auto"/>
        <w:rPr>
          <w:rFonts w:ascii="Times New Roman" w:hAnsi="Times New Roman" w:cs="Times New Roman"/>
        </w:rPr>
      </w:pPr>
      <w:bookmarkStart w:id="13" w:name="_Toc228957661"/>
      <w:r w:rsidRPr="00C26FF0">
        <w:rPr>
          <w:rFonts w:ascii="Times New Roman" w:hAnsi="Times New Roman" w:cs="Times New Roman"/>
        </w:rPr>
        <w:t>Each of the six scenarios generates a dataset, applies a selection method, and records the selected variables, estimates, and inferential statistics. Results will be summarized in tables and plots comparing selection accuracy, bias, and error rates across methods, sample sizes, and correlation levels.</w:t>
      </w:r>
    </w:p>
    <w:p w14:paraId="495A9F40" w14:textId="5DB8B654" w:rsidR="0002141C" w:rsidRDefault="00E0417E" w:rsidP="002A53D2">
      <w:pPr>
        <w:pStyle w:val="Heading2"/>
      </w:pPr>
      <w:r>
        <w:t xml:space="preserve">4. </w:t>
      </w:r>
      <w:r w:rsidR="00F26A49">
        <w:t>Results</w:t>
      </w:r>
      <w:bookmarkEnd w:id="13"/>
    </w:p>
    <w:p w14:paraId="39FEAF5A" w14:textId="1F1952DF" w:rsidR="00172D30" w:rsidRDefault="0073666B" w:rsidP="00D36A0B">
      <w:pPr>
        <w:spacing w:line="480" w:lineRule="auto"/>
        <w:rPr>
          <w:rFonts w:ascii="Times New Roman" w:hAnsi="Times New Roman" w:cs="Times New Roman"/>
        </w:rPr>
      </w:pPr>
      <w:r w:rsidRPr="0073666B">
        <w:rPr>
          <w:rFonts w:ascii="Times New Roman" w:hAnsi="Times New Roman" w:cs="Times New Roman"/>
        </w:rPr>
        <w:t>Results are summarized across true and null predictors</w:t>
      </w:r>
      <w:r w:rsidR="00913C94">
        <w:rPr>
          <w:rFonts w:ascii="Times New Roman" w:hAnsi="Times New Roman" w:cs="Times New Roman"/>
        </w:rPr>
        <w:t>. Aggregated</w:t>
      </w:r>
      <w:r w:rsidRPr="0073666B">
        <w:rPr>
          <w:rFonts w:ascii="Times New Roman" w:hAnsi="Times New Roman" w:cs="Times New Roman"/>
        </w:rPr>
        <w:t xml:space="preserve"> metrics, including TPR, FPR, model size, and type I and type II error rates, are averaged over the 10,000 simulation iterations within each scenario, while variable-level patterns are explored graphically.</w:t>
      </w:r>
    </w:p>
    <w:p w14:paraId="62F87BD4" w14:textId="625C2D89" w:rsidR="00172D30" w:rsidRDefault="00172D30" w:rsidP="00BE2736">
      <w:pPr>
        <w:pStyle w:val="Heading4"/>
        <w:rPr>
          <w:sz w:val="26"/>
          <w:szCs w:val="26"/>
        </w:rPr>
      </w:pPr>
      <w:r>
        <w:rPr>
          <w:sz w:val="26"/>
          <w:szCs w:val="26"/>
        </w:rPr>
        <w:t>4</w:t>
      </w:r>
      <w:r w:rsidRPr="00D732A8">
        <w:rPr>
          <w:sz w:val="26"/>
          <w:szCs w:val="26"/>
        </w:rPr>
        <w:t>.</w:t>
      </w:r>
      <w:r>
        <w:rPr>
          <w:sz w:val="26"/>
          <w:szCs w:val="26"/>
        </w:rPr>
        <w:t>1</w:t>
      </w:r>
      <w:r w:rsidRPr="00D732A8">
        <w:rPr>
          <w:sz w:val="26"/>
          <w:szCs w:val="26"/>
        </w:rPr>
        <w:t xml:space="preserve"> </w:t>
      </w:r>
      <w:r>
        <w:rPr>
          <w:sz w:val="26"/>
          <w:szCs w:val="26"/>
        </w:rPr>
        <w:t>Variable Selection Performance</w:t>
      </w:r>
    </w:p>
    <w:p w14:paraId="39ACEFAA" w14:textId="68B7B303" w:rsidR="00797774" w:rsidRPr="00797774" w:rsidRDefault="00797774" w:rsidP="00797774">
      <w:pPr>
        <w:pStyle w:val="p1"/>
      </w:pPr>
      <w:r w:rsidRPr="009840D2">
        <w:rPr>
          <w:noProof/>
        </w:rPr>
        <w:drawing>
          <wp:inline distT="0" distB="0" distL="0" distR="0" wp14:anchorId="6C076AFF" wp14:editId="73A0AD26">
            <wp:extent cx="5943600" cy="2354580"/>
            <wp:effectExtent l="12700" t="12700" r="12700" b="7620"/>
            <wp:docPr id="96807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75563" name=""/>
                    <pic:cNvPicPr/>
                  </pic:nvPicPr>
                  <pic:blipFill>
                    <a:blip r:embed="rId6"/>
                    <a:stretch>
                      <a:fillRect/>
                    </a:stretch>
                  </pic:blipFill>
                  <pic:spPr>
                    <a:xfrm>
                      <a:off x="0" y="0"/>
                      <a:ext cx="5943600" cy="2354580"/>
                    </a:xfrm>
                    <a:prstGeom prst="rect">
                      <a:avLst/>
                    </a:prstGeom>
                    <a:ln>
                      <a:solidFill>
                        <a:schemeClr val="bg1">
                          <a:lumMod val="85000"/>
                        </a:schemeClr>
                      </a:solidFill>
                    </a:ln>
                  </pic:spPr>
                </pic:pic>
              </a:graphicData>
            </a:graphic>
          </wp:inline>
        </w:drawing>
      </w:r>
      <w:r>
        <w:rPr>
          <w:b/>
          <w:bCs/>
          <w:i/>
          <w:iCs/>
          <w:color w:val="000000" w:themeColor="text1"/>
          <w:sz w:val="21"/>
          <w:szCs w:val="21"/>
        </w:rPr>
        <w:t>Table</w:t>
      </w:r>
      <w:r w:rsidRPr="00373098">
        <w:rPr>
          <w:b/>
          <w:bCs/>
          <w:i/>
          <w:iCs/>
          <w:color w:val="000000" w:themeColor="text1"/>
          <w:sz w:val="21"/>
          <w:szCs w:val="21"/>
        </w:rPr>
        <w:t xml:space="preserve"> </w:t>
      </w:r>
      <w:r w:rsidR="00004358">
        <w:rPr>
          <w:b/>
          <w:bCs/>
          <w:i/>
          <w:iCs/>
          <w:color w:val="000000" w:themeColor="text1"/>
          <w:sz w:val="21"/>
          <w:szCs w:val="21"/>
        </w:rPr>
        <w:t>1</w:t>
      </w:r>
      <w:r w:rsidRPr="00373098">
        <w:rPr>
          <w:b/>
          <w:bCs/>
          <w:i/>
          <w:iCs/>
          <w:color w:val="000000" w:themeColor="text1"/>
          <w:sz w:val="21"/>
          <w:szCs w:val="21"/>
        </w:rPr>
        <w:t xml:space="preserve">. </w:t>
      </w:r>
      <w:r>
        <w:rPr>
          <w:b/>
          <w:bCs/>
          <w:i/>
          <w:iCs/>
          <w:color w:val="000000" w:themeColor="text1"/>
          <w:sz w:val="21"/>
          <w:szCs w:val="21"/>
        </w:rPr>
        <w:t>Variable selection performance across methods, sample sizes, and correlation structures</w:t>
      </w:r>
      <w:r w:rsidRPr="00373098">
        <w:rPr>
          <w:b/>
          <w:bCs/>
          <w:i/>
          <w:iCs/>
          <w:color w:val="000000" w:themeColor="text1"/>
          <w:sz w:val="21"/>
          <w:szCs w:val="21"/>
        </w:rPr>
        <w:t>.</w:t>
      </w:r>
      <w:r w:rsidRPr="00373098">
        <w:rPr>
          <w:i/>
          <w:iCs/>
          <w:color w:val="000000" w:themeColor="text1"/>
          <w:sz w:val="21"/>
          <w:szCs w:val="21"/>
        </w:rPr>
        <w:t xml:space="preserve"> </w:t>
      </w:r>
      <w:r>
        <w:rPr>
          <w:i/>
          <w:iCs/>
          <w:color w:val="000000" w:themeColor="text1"/>
          <w:sz w:val="21"/>
          <w:szCs w:val="21"/>
        </w:rPr>
        <w:t xml:space="preserve"> </w:t>
      </w:r>
      <w:r w:rsidRPr="00373098">
        <w:rPr>
          <w:i/>
          <w:iCs/>
          <w:sz w:val="21"/>
          <w:szCs w:val="21"/>
        </w:rPr>
        <w:t>Results summarize variable selection performance across 10,000 simulation iterations for each scenario. True positive rate (TPR) represents the proportion of true predictors correctly selected, false positive rate (FPR) represents the proportion of null predictors incorrectly selected, and mean model size reflects the average number of predictors retained in the final model. Results are stratified by predictor correlation and sample siz</w:t>
      </w:r>
      <w:r>
        <w:rPr>
          <w:i/>
          <w:iCs/>
          <w:sz w:val="21"/>
          <w:szCs w:val="21"/>
        </w:rPr>
        <w:t>e</w:t>
      </w:r>
      <w:r w:rsidRPr="00373098">
        <w:rPr>
          <w:i/>
          <w:iCs/>
          <w:sz w:val="21"/>
          <w:szCs w:val="21"/>
        </w:rPr>
        <w:t>.</w:t>
      </w:r>
    </w:p>
    <w:p w14:paraId="7271E3FB" w14:textId="6052C66A" w:rsidR="007F791C" w:rsidRPr="007F791C" w:rsidRDefault="007F791C" w:rsidP="00365AEC">
      <w:pPr>
        <w:pStyle w:val="p1"/>
        <w:spacing w:line="480" w:lineRule="auto"/>
        <w:rPr>
          <w:rFonts w:eastAsiaTheme="minorHAnsi"/>
          <w:kern w:val="2"/>
          <w14:ligatures w14:val="standardContextual"/>
        </w:rPr>
      </w:pPr>
      <w:r>
        <w:rPr>
          <w:rFonts w:eastAsiaTheme="minorHAnsi"/>
          <w:kern w:val="2"/>
          <w14:ligatures w14:val="standardContextual"/>
        </w:rPr>
        <w:t>Liberal methods</w:t>
      </w:r>
      <w:r w:rsidR="009E418F" w:rsidRPr="009E418F">
        <w:rPr>
          <w:rFonts w:eastAsiaTheme="minorHAnsi"/>
          <w:kern w:val="2"/>
          <w14:ligatures w14:val="standardContextual"/>
        </w:rPr>
        <w:t xml:space="preserve">, including AIC and </w:t>
      </w:r>
      <m:oMath>
        <m:sSub>
          <m:sSubPr>
            <m:ctrlPr>
              <w:rPr>
                <w:rFonts w:ascii="Cambria Math" w:eastAsiaTheme="minorHAnsi" w:hAnsi="Cambria Math"/>
                <w:kern w:val="2"/>
                <w14:ligatures w14:val="standardContextual"/>
              </w:rPr>
            </m:ctrlPr>
          </m:sSubPr>
          <m:e>
            <m:r>
              <w:rPr>
                <w:rFonts w:ascii="Cambria Math" w:eastAsiaTheme="minorHAnsi" w:hAnsi="Cambria Math"/>
                <w:kern w:val="2"/>
                <w14:ligatures w14:val="standardContextual"/>
              </w:rPr>
              <m:t>λ</m:t>
            </m:r>
          </m:e>
          <m:sub>
            <m:r>
              <w:rPr>
                <w:rFonts w:ascii="Cambria Math" w:eastAsiaTheme="minorHAnsi" w:hAnsi="Cambria Math"/>
                <w:kern w:val="2"/>
                <w14:ligatures w14:val="standardContextual"/>
              </w:rPr>
              <m:t>min</m:t>
            </m:r>
          </m:sub>
        </m:sSub>
      </m:oMath>
      <w:r w:rsidR="00D76DA3" w:rsidRPr="007F791C">
        <w:rPr>
          <w:rFonts w:eastAsiaTheme="minorHAnsi"/>
          <w:kern w:val="2"/>
          <w14:ligatures w14:val="standardContextual"/>
        </w:rPr>
        <w:t>-</w:t>
      </w:r>
      <w:r w:rsidR="009E418F" w:rsidRPr="009E418F">
        <w:rPr>
          <w:rFonts w:eastAsiaTheme="minorHAnsi"/>
          <w:kern w:val="2"/>
          <w14:ligatures w14:val="standardContextual"/>
        </w:rPr>
        <w:t xml:space="preserve">based penalization, </w:t>
      </w:r>
      <w:r w:rsidRPr="007F791C">
        <w:rPr>
          <w:rFonts w:eastAsiaTheme="minorHAnsi"/>
          <w:kern w:val="2"/>
          <w14:ligatures w14:val="standardContextual"/>
        </w:rPr>
        <w:t>achieved higher TPR values but also larger FPRs and mod</w:t>
      </w:r>
      <w:r w:rsidRPr="00FE06D9">
        <w:rPr>
          <w:rFonts w:eastAsiaTheme="minorHAnsi"/>
          <w:kern w:val="2"/>
          <w14:ligatures w14:val="standardContextual"/>
        </w:rPr>
        <w:t>el sizes</w:t>
      </w:r>
      <w:r w:rsidR="00920A9C" w:rsidRPr="00FE06D9">
        <w:rPr>
          <w:rFonts w:eastAsiaTheme="minorHAnsi"/>
          <w:kern w:val="2"/>
          <w14:ligatures w14:val="standardContextual"/>
        </w:rPr>
        <w:t xml:space="preserve">, with </w:t>
      </w:r>
      <m:oMath>
        <m:sSub>
          <m:sSubPr>
            <m:ctrlPr>
              <w:rPr>
                <w:rFonts w:ascii="Cambria Math" w:eastAsiaTheme="minorHAnsi" w:hAnsi="Cambria Math"/>
                <w:kern w:val="2"/>
                <w14:ligatures w14:val="standardContextual"/>
              </w:rPr>
            </m:ctrlPr>
          </m:sSubPr>
          <m:e>
            <m:r>
              <w:rPr>
                <w:rFonts w:ascii="Cambria Math" w:eastAsiaTheme="minorHAnsi" w:hAnsi="Cambria Math"/>
                <w:kern w:val="2"/>
                <w14:ligatures w14:val="standardContextual"/>
              </w:rPr>
              <m:t>λ</m:t>
            </m:r>
          </m:e>
          <m:sub>
            <m:r>
              <w:rPr>
                <w:rFonts w:ascii="Cambria Math" w:eastAsiaTheme="minorHAnsi" w:hAnsi="Cambria Math"/>
                <w:kern w:val="2"/>
                <w14:ligatures w14:val="standardContextual"/>
              </w:rPr>
              <m:t>min</m:t>
            </m:r>
          </m:sub>
        </m:sSub>
      </m:oMath>
      <w:r w:rsidR="00920A9C" w:rsidRPr="00FE06D9">
        <w:rPr>
          <w:rFonts w:eastAsiaTheme="minorHAnsi"/>
          <w:kern w:val="2"/>
          <w14:ligatures w14:val="standardContextual"/>
        </w:rPr>
        <w:t xml:space="preserve"> methods</w:t>
      </w:r>
      <w:r w:rsidR="00322E5F" w:rsidRPr="00FE06D9">
        <w:rPr>
          <w:rFonts w:eastAsiaTheme="minorHAnsi"/>
          <w:kern w:val="2"/>
          <w14:ligatures w14:val="standardContextual"/>
        </w:rPr>
        <w:t xml:space="preserve"> in particular exhibiting substantial FPR</w:t>
      </w:r>
      <w:r w:rsidR="00FE06D9" w:rsidRPr="00FE06D9">
        <w:rPr>
          <w:rFonts w:eastAsiaTheme="minorHAnsi"/>
          <w:kern w:val="2"/>
          <w14:ligatures w14:val="standardContextual"/>
        </w:rPr>
        <w:t>s</w:t>
      </w:r>
      <w:r w:rsidR="00322E5F" w:rsidRPr="00FE06D9">
        <w:rPr>
          <w:rFonts w:eastAsiaTheme="minorHAnsi"/>
          <w:kern w:val="2"/>
          <w14:ligatures w14:val="standardContextual"/>
        </w:rPr>
        <w:t xml:space="preserve"> and model sizes</w:t>
      </w:r>
      <w:r w:rsidRPr="00FE06D9">
        <w:rPr>
          <w:rFonts w:eastAsiaTheme="minorHAnsi"/>
          <w:kern w:val="2"/>
          <w14:ligatures w14:val="standardContextual"/>
        </w:rPr>
        <w:t>.</w:t>
      </w:r>
      <w:r w:rsidRPr="007F791C">
        <w:rPr>
          <w:rFonts w:eastAsiaTheme="minorHAnsi"/>
          <w:kern w:val="2"/>
          <w14:ligatures w14:val="standardContextual"/>
        </w:rPr>
        <w:t xml:space="preserve"> Conservative approaches, particularly BIC and </w:t>
      </w:r>
      <m:oMath>
        <m:sSub>
          <m:sSubPr>
            <m:ctrlPr>
              <w:rPr>
                <w:rFonts w:ascii="Cambria Math" w:hAnsi="Cambria Math"/>
              </w:rPr>
            </m:ctrlPr>
          </m:sSubPr>
          <m:e>
            <m:r>
              <w:rPr>
                <w:rFonts w:ascii="Cambria Math" w:hAnsi="Cambria Math"/>
              </w:rPr>
              <m:t>λ</m:t>
            </m:r>
          </m:e>
          <m:sub>
            <m:r>
              <w:rPr>
                <w:rFonts w:ascii="Cambria Math" w:hAnsi="Cambria Math"/>
              </w:rPr>
              <m:t>1se</m:t>
            </m:r>
          </m:sub>
        </m:sSub>
      </m:oMath>
      <w:r w:rsidRPr="009E418F">
        <w:rPr>
          <w:rFonts w:eastAsiaTheme="minorHAnsi"/>
          <w:kern w:val="2"/>
          <w14:ligatures w14:val="standardContextual"/>
        </w:rPr>
        <w:t>-</w:t>
      </w:r>
      <w:r w:rsidRPr="007F791C">
        <w:rPr>
          <w:rFonts w:eastAsiaTheme="minorHAnsi"/>
          <w:kern w:val="2"/>
          <w14:ligatures w14:val="standardContextual"/>
        </w:rPr>
        <w:t xml:space="preserve">based methods, reduced </w:t>
      </w:r>
      <w:r w:rsidRPr="007F791C">
        <w:rPr>
          <w:rFonts w:eastAsiaTheme="minorHAnsi"/>
          <w:kern w:val="2"/>
          <w14:ligatures w14:val="standardContextual"/>
        </w:rPr>
        <w:lastRenderedPageBreak/>
        <w:t>false positive selection at the cost of lower TPR. Increasing predictor correlation reduced selection accuracy, while larger sample sizes improved TPR</w:t>
      </w:r>
      <w:r w:rsidR="00365AEC">
        <w:rPr>
          <w:rFonts w:eastAsiaTheme="minorHAnsi"/>
          <w:kern w:val="2"/>
          <w14:ligatures w14:val="standardContextual"/>
        </w:rPr>
        <w:t xml:space="preserve"> but had little effect on FPR</w:t>
      </w:r>
      <w:r w:rsidRPr="007F791C">
        <w:rPr>
          <w:rFonts w:eastAsiaTheme="minorHAnsi"/>
          <w:kern w:val="2"/>
          <w14:ligatures w14:val="standardContextual"/>
        </w:rPr>
        <w:t xml:space="preserve"> across most methods.</w:t>
      </w:r>
    </w:p>
    <w:p w14:paraId="42E77FF0" w14:textId="47CEED17" w:rsidR="00CA67C9" w:rsidRDefault="00206B36" w:rsidP="00206B36">
      <w:pPr>
        <w:pStyle w:val="Heading4"/>
        <w:rPr>
          <w:sz w:val="26"/>
          <w:szCs w:val="26"/>
        </w:rPr>
      </w:pPr>
      <w:r>
        <w:rPr>
          <w:sz w:val="26"/>
          <w:szCs w:val="26"/>
        </w:rPr>
        <w:t>4</w:t>
      </w:r>
      <w:r w:rsidRPr="00D732A8">
        <w:rPr>
          <w:sz w:val="26"/>
          <w:szCs w:val="26"/>
        </w:rPr>
        <w:t>.</w:t>
      </w:r>
      <w:r>
        <w:rPr>
          <w:sz w:val="26"/>
          <w:szCs w:val="26"/>
        </w:rPr>
        <w:t>2</w:t>
      </w:r>
      <w:r w:rsidRPr="00D732A8">
        <w:rPr>
          <w:sz w:val="26"/>
          <w:szCs w:val="26"/>
        </w:rPr>
        <w:t xml:space="preserve"> </w:t>
      </w:r>
      <w:r>
        <w:rPr>
          <w:sz w:val="26"/>
          <w:szCs w:val="26"/>
        </w:rPr>
        <w:t>Estimation</w:t>
      </w:r>
    </w:p>
    <w:p w14:paraId="79132DB2" w14:textId="388DC804" w:rsidR="00024D90" w:rsidRDefault="00C77D42" w:rsidP="00024D90">
      <w:r w:rsidRPr="00C77D42">
        <w:drawing>
          <wp:inline distT="0" distB="0" distL="0" distR="0" wp14:anchorId="323F258F" wp14:editId="10871BA0">
            <wp:extent cx="5943600" cy="3352165"/>
            <wp:effectExtent l="0" t="0" r="0" b="635"/>
            <wp:docPr id="33680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00065" name=""/>
                    <pic:cNvPicPr/>
                  </pic:nvPicPr>
                  <pic:blipFill>
                    <a:blip r:embed="rId7"/>
                    <a:stretch>
                      <a:fillRect/>
                    </a:stretch>
                  </pic:blipFill>
                  <pic:spPr>
                    <a:xfrm>
                      <a:off x="0" y="0"/>
                      <a:ext cx="5943600" cy="3352165"/>
                    </a:xfrm>
                    <a:prstGeom prst="rect">
                      <a:avLst/>
                    </a:prstGeom>
                  </pic:spPr>
                </pic:pic>
              </a:graphicData>
            </a:graphic>
          </wp:inline>
        </w:drawing>
      </w:r>
    </w:p>
    <w:p w14:paraId="16903C24" w14:textId="51F0E69C" w:rsidR="00024D90" w:rsidRPr="00115233" w:rsidRDefault="00024D90" w:rsidP="00024D90">
      <w:pPr>
        <w:pStyle w:val="Caption"/>
        <w:contextualSpacing/>
        <w:rPr>
          <w:rFonts w:ascii="Times New Roman" w:eastAsia="Times New Roman" w:hAnsi="Times New Roman" w:cs="Times New Roman"/>
          <w:color w:val="000000" w:themeColor="text1"/>
          <w:kern w:val="0"/>
          <w:sz w:val="21"/>
          <w:szCs w:val="21"/>
          <w14:ligatures w14:val="none"/>
        </w:rPr>
      </w:pPr>
      <w:r w:rsidRPr="00115233">
        <w:rPr>
          <w:rFonts w:ascii="Times New Roman" w:eastAsia="Times New Roman" w:hAnsi="Times New Roman" w:cs="Times New Roman"/>
          <w:b/>
          <w:bCs/>
          <w:color w:val="000000" w:themeColor="text1"/>
          <w:kern w:val="0"/>
          <w:sz w:val="21"/>
          <w:szCs w:val="21"/>
          <w14:ligatures w14:val="none"/>
        </w:rPr>
        <w:t xml:space="preserve">Figure </w:t>
      </w:r>
      <w:r w:rsidR="00004358">
        <w:rPr>
          <w:rFonts w:ascii="Times New Roman" w:eastAsia="Times New Roman" w:hAnsi="Times New Roman" w:cs="Times New Roman"/>
          <w:b/>
          <w:bCs/>
          <w:color w:val="000000" w:themeColor="text1"/>
          <w:kern w:val="0"/>
          <w:sz w:val="21"/>
          <w:szCs w:val="21"/>
          <w14:ligatures w14:val="none"/>
        </w:rPr>
        <w:t>1</w:t>
      </w:r>
      <w:r w:rsidRPr="00115233">
        <w:rPr>
          <w:rFonts w:ascii="Times New Roman" w:eastAsia="Times New Roman" w:hAnsi="Times New Roman" w:cs="Times New Roman"/>
          <w:b/>
          <w:bCs/>
          <w:color w:val="000000" w:themeColor="text1"/>
          <w:kern w:val="0"/>
          <w:sz w:val="21"/>
          <w:szCs w:val="21"/>
          <w14:ligatures w14:val="none"/>
        </w:rPr>
        <w:t>. Mean bias for true predictors across variable selection methods, sample sizes, and correlation structures.</w:t>
      </w:r>
      <w:r w:rsidRPr="00115233">
        <w:rPr>
          <w:rFonts w:ascii="Times New Roman" w:eastAsia="Times New Roman" w:hAnsi="Times New Roman" w:cs="Times New Roman"/>
          <w:color w:val="000000" w:themeColor="text1"/>
          <w:kern w:val="0"/>
          <w:sz w:val="21"/>
          <w:szCs w:val="21"/>
          <w14:ligatures w14:val="none"/>
        </w:rPr>
        <w:t xml:space="preserve"> Cells display the average bias for the five true predictors (V01–V05) across 10,000 simulation iterations. Rows correspond to variable selection methods, while panels are stratified by sample size and predictor correlation. Negative values (blue) indicate underestimation of the true coefficient. </w:t>
      </w:r>
    </w:p>
    <w:p w14:paraId="62658B13" w14:textId="78F0E2D6" w:rsidR="00920A9C" w:rsidRPr="00920A9C" w:rsidRDefault="00920A9C" w:rsidP="009B153E">
      <w:pPr>
        <w:pStyle w:val="p1"/>
        <w:spacing w:line="480" w:lineRule="auto"/>
      </w:pPr>
      <w:r>
        <w:t>Bias became increasingly negative under stronger correlation structures, particularly for predictors with smaller true effects (e.g., V01). Conservative methods exhibited larger negative bias due to more frequent omission of true predictors, which were assigned coefficient estimates of zero when not selected.</w:t>
      </w:r>
    </w:p>
    <w:p w14:paraId="26AF3CE2" w14:textId="390474A4" w:rsidR="009F7BC4" w:rsidRDefault="009F7BC4" w:rsidP="00C57843">
      <w:pPr>
        <w:pStyle w:val="Heading4"/>
        <w:rPr>
          <w:sz w:val="26"/>
          <w:szCs w:val="26"/>
        </w:rPr>
      </w:pPr>
      <w:r>
        <w:rPr>
          <w:sz w:val="26"/>
          <w:szCs w:val="26"/>
        </w:rPr>
        <w:lastRenderedPageBreak/>
        <w:t>4</w:t>
      </w:r>
      <w:r w:rsidRPr="00D732A8">
        <w:rPr>
          <w:sz w:val="26"/>
          <w:szCs w:val="26"/>
        </w:rPr>
        <w:t>.</w:t>
      </w:r>
      <w:r>
        <w:rPr>
          <w:sz w:val="26"/>
          <w:szCs w:val="26"/>
        </w:rPr>
        <w:t>3</w:t>
      </w:r>
      <w:r w:rsidRPr="00D732A8">
        <w:rPr>
          <w:sz w:val="26"/>
          <w:szCs w:val="26"/>
        </w:rPr>
        <w:t xml:space="preserve"> </w:t>
      </w:r>
      <w:r>
        <w:rPr>
          <w:sz w:val="26"/>
          <w:szCs w:val="26"/>
        </w:rPr>
        <w:t>Type I &amp; II errors</w:t>
      </w:r>
    </w:p>
    <w:p w14:paraId="11D8D57D" w14:textId="20346E25" w:rsidR="00797774" w:rsidRPr="00797774" w:rsidRDefault="00797774" w:rsidP="00797774">
      <w:pPr>
        <w:pStyle w:val="p1"/>
        <w:rPr>
          <w:i/>
          <w:iCs/>
          <w:color w:val="000000" w:themeColor="text1"/>
          <w:sz w:val="21"/>
          <w:szCs w:val="21"/>
        </w:rPr>
      </w:pPr>
      <w:r w:rsidRPr="00DC7907">
        <w:rPr>
          <w:rFonts w:eastAsiaTheme="minorHAnsi"/>
          <w:kern w:val="2"/>
          <w14:ligatures w14:val="standardContextual"/>
        </w:rPr>
        <w:drawing>
          <wp:inline distT="0" distB="0" distL="0" distR="0" wp14:anchorId="23BE8585" wp14:editId="5F14F20B">
            <wp:extent cx="5943600" cy="2717165"/>
            <wp:effectExtent l="12700" t="12700" r="12700" b="13335"/>
            <wp:docPr id="99270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03373" name=""/>
                    <pic:cNvPicPr/>
                  </pic:nvPicPr>
                  <pic:blipFill>
                    <a:blip r:embed="rId8"/>
                    <a:stretch>
                      <a:fillRect/>
                    </a:stretch>
                  </pic:blipFill>
                  <pic:spPr>
                    <a:xfrm>
                      <a:off x="0" y="0"/>
                      <a:ext cx="5943600" cy="2717165"/>
                    </a:xfrm>
                    <a:prstGeom prst="rect">
                      <a:avLst/>
                    </a:prstGeom>
                    <a:ln>
                      <a:solidFill>
                        <a:schemeClr val="bg1">
                          <a:lumMod val="85000"/>
                        </a:schemeClr>
                      </a:solidFill>
                    </a:ln>
                  </pic:spPr>
                </pic:pic>
              </a:graphicData>
            </a:graphic>
          </wp:inline>
        </w:drawing>
      </w:r>
      <w:r w:rsidRPr="00DC7907">
        <w:rPr>
          <w:b/>
          <w:bCs/>
          <w:i/>
          <w:iCs/>
          <w:color w:val="000000" w:themeColor="text1"/>
          <w:sz w:val="21"/>
          <w:szCs w:val="21"/>
        </w:rPr>
        <w:t xml:space="preserve">Figure </w:t>
      </w:r>
      <w:r w:rsidR="00004358">
        <w:rPr>
          <w:b/>
          <w:bCs/>
          <w:i/>
          <w:iCs/>
          <w:color w:val="000000" w:themeColor="text1"/>
          <w:sz w:val="21"/>
          <w:szCs w:val="21"/>
        </w:rPr>
        <w:t>2</w:t>
      </w:r>
      <w:r w:rsidRPr="00DC7907">
        <w:rPr>
          <w:b/>
          <w:bCs/>
          <w:i/>
          <w:iCs/>
          <w:color w:val="000000" w:themeColor="text1"/>
          <w:sz w:val="21"/>
          <w:szCs w:val="21"/>
        </w:rPr>
        <w:t xml:space="preserve">. </w:t>
      </w:r>
      <w:r>
        <w:rPr>
          <w:b/>
          <w:bCs/>
          <w:i/>
          <w:iCs/>
          <w:color w:val="000000" w:themeColor="text1"/>
          <w:sz w:val="21"/>
          <w:szCs w:val="21"/>
        </w:rPr>
        <w:t>Type I and Type II error rates across variable selection methods, sample sizes, and correlation</w:t>
      </w:r>
      <w:r w:rsidRPr="00DC7907">
        <w:rPr>
          <w:b/>
          <w:bCs/>
          <w:i/>
          <w:iCs/>
          <w:color w:val="000000" w:themeColor="text1"/>
          <w:sz w:val="21"/>
          <w:szCs w:val="21"/>
        </w:rPr>
        <w:t>.</w:t>
      </w:r>
      <w:r w:rsidRPr="00DC7907">
        <w:rPr>
          <w:i/>
          <w:iCs/>
          <w:color w:val="000000" w:themeColor="text1"/>
          <w:sz w:val="21"/>
          <w:szCs w:val="21"/>
        </w:rPr>
        <w:t xml:space="preserve"> Results summarize empirical type I and type II error rates across 10,000 simulation iterations for each scenario. Type I error rates represent the probability of incorrectly rejecting a null predictor, while type II error rates represent the probability of failing to detect a true predictor. Results are stratified by predictor correlation and sample size.</w:t>
      </w:r>
    </w:p>
    <w:p w14:paraId="05DD783B" w14:textId="3A49EDE4" w:rsidR="007E1FAD" w:rsidRPr="00C57843" w:rsidRDefault="00EC31D7" w:rsidP="006A078B">
      <w:pPr>
        <w:pStyle w:val="p1"/>
        <w:spacing w:line="480" w:lineRule="auto"/>
      </w:pPr>
      <w:r>
        <w:t>Lower type I error rates were generally associated with higher type II error rates, reflecting the trade-off between conservative and liberal selection procedures. Conservative methods produced the smallest type I error rates but substantially larger type II error rates under stronger predictor correlation. Larger sample sizes reduced type II error</w:t>
      </w:r>
      <w:r>
        <w:t xml:space="preserve"> and modestly improved type I error</w:t>
      </w:r>
      <w:r>
        <w:t xml:space="preserve"> across most methods.</w:t>
      </w:r>
    </w:p>
    <w:p w14:paraId="6D0A9A11" w14:textId="03C777B8" w:rsidR="00CA67C9" w:rsidRPr="00CA67C9" w:rsidRDefault="00CA67C9" w:rsidP="00CA67C9">
      <w:pPr>
        <w:pStyle w:val="Heading4"/>
        <w:rPr>
          <w:sz w:val="26"/>
          <w:szCs w:val="26"/>
        </w:rPr>
      </w:pPr>
      <w:r>
        <w:rPr>
          <w:sz w:val="26"/>
          <w:szCs w:val="26"/>
        </w:rPr>
        <w:t>4</w:t>
      </w:r>
      <w:r w:rsidRPr="00D732A8">
        <w:rPr>
          <w:sz w:val="26"/>
          <w:szCs w:val="26"/>
        </w:rPr>
        <w:t>.</w:t>
      </w:r>
      <w:r w:rsidR="009F7BC4">
        <w:rPr>
          <w:sz w:val="26"/>
          <w:szCs w:val="26"/>
        </w:rPr>
        <w:t>4</w:t>
      </w:r>
      <w:r w:rsidRPr="00D732A8">
        <w:rPr>
          <w:sz w:val="26"/>
          <w:szCs w:val="26"/>
        </w:rPr>
        <w:t xml:space="preserve"> </w:t>
      </w:r>
      <w:r>
        <w:rPr>
          <w:sz w:val="26"/>
          <w:szCs w:val="26"/>
        </w:rPr>
        <w:t>Coverage</w:t>
      </w:r>
    </w:p>
    <w:p w14:paraId="1D42040D" w14:textId="06D13C5B" w:rsidR="006A078B" w:rsidRDefault="00306733" w:rsidP="00C57843">
      <w:pPr>
        <w:spacing w:line="480" w:lineRule="auto"/>
        <w:rPr>
          <w:rFonts w:ascii="Times New Roman" w:hAnsi="Times New Roman" w:cs="Times New Roman"/>
        </w:rPr>
      </w:pPr>
      <w:r w:rsidRPr="00C26FF0">
        <w:rPr>
          <w:rFonts w:ascii="Times New Roman" w:hAnsi="Times New Roman" w:cs="Times New Roman"/>
        </w:rPr>
        <w:t xml:space="preserve">Coverage for null predictors was consistently close to the nominal 95% level across methods. Since non-selected variables were treated as having coefficient estimates equal to zero, null predictors often achieved high coverage by construction. Therefore, coverage analyses primarily focused on true predictors, where post-selection </w:t>
      </w:r>
      <w:r w:rsidR="00F265CC" w:rsidRPr="00C26FF0">
        <w:rPr>
          <w:rFonts w:ascii="Times New Roman" w:hAnsi="Times New Roman" w:cs="Times New Roman"/>
        </w:rPr>
        <w:t>coverage</w:t>
      </w:r>
      <w:r w:rsidRPr="00C26FF0">
        <w:rPr>
          <w:rFonts w:ascii="Times New Roman" w:hAnsi="Times New Roman" w:cs="Times New Roman"/>
        </w:rPr>
        <w:t xml:space="preserve"> differences were more meaningful.</w:t>
      </w:r>
      <w:r w:rsidR="00A40C28">
        <w:rPr>
          <w:rFonts w:ascii="Times New Roman" w:hAnsi="Times New Roman" w:cs="Times New Roman"/>
        </w:rPr>
        <w:t xml:space="preserve"> </w:t>
      </w:r>
      <w:r w:rsidR="0096201B" w:rsidRPr="0096201B">
        <w:rPr>
          <w:rFonts w:ascii="Times New Roman" w:hAnsi="Times New Roman" w:cs="Times New Roman"/>
        </w:rPr>
        <w:t xml:space="preserve">Coverage values modestly below 0.95 were interpreted cautiously due to Monte Carlo variability, while larger deviations were considered evidence of </w:t>
      </w:r>
      <w:r w:rsidR="0096201B">
        <w:rPr>
          <w:rFonts w:ascii="Times New Roman" w:hAnsi="Times New Roman" w:cs="Times New Roman"/>
        </w:rPr>
        <w:t>non-coverage</w:t>
      </w:r>
      <w:r w:rsidR="00190B2C">
        <w:rPr>
          <w:rFonts w:ascii="Times New Roman" w:hAnsi="Times New Roman" w:cs="Times New Roman"/>
        </w:rPr>
        <w:t>.</w:t>
      </w:r>
    </w:p>
    <w:p w14:paraId="5195F923" w14:textId="3A41C08E" w:rsidR="00F56C7E" w:rsidRPr="00F56C7E" w:rsidRDefault="00F56C7E" w:rsidP="00F56C7E">
      <w:pPr>
        <w:spacing w:line="240" w:lineRule="auto"/>
        <w:rPr>
          <w:rFonts w:ascii="Times New Roman" w:hAnsi="Times New Roman" w:cs="Times New Roman"/>
        </w:rPr>
      </w:pPr>
      <w:r w:rsidRPr="00F56C7E">
        <w:rPr>
          <w:rFonts w:ascii="Times New Roman" w:hAnsi="Times New Roman" w:cs="Times New Roman"/>
        </w:rPr>
        <w:lastRenderedPageBreak/>
        <w:drawing>
          <wp:inline distT="0" distB="0" distL="0" distR="0" wp14:anchorId="0894D302" wp14:editId="3C3396C5">
            <wp:extent cx="5943600" cy="3493770"/>
            <wp:effectExtent l="0" t="0" r="0" b="0"/>
            <wp:docPr id="160584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42305" name=""/>
                    <pic:cNvPicPr/>
                  </pic:nvPicPr>
                  <pic:blipFill>
                    <a:blip r:embed="rId9"/>
                    <a:stretch>
                      <a:fillRect/>
                    </a:stretch>
                  </pic:blipFill>
                  <pic:spPr>
                    <a:xfrm>
                      <a:off x="0" y="0"/>
                      <a:ext cx="5943600" cy="3493770"/>
                    </a:xfrm>
                    <a:prstGeom prst="rect">
                      <a:avLst/>
                    </a:prstGeom>
                  </pic:spPr>
                </pic:pic>
              </a:graphicData>
            </a:graphic>
          </wp:inline>
        </w:drawing>
      </w:r>
      <w:r w:rsidRPr="00F56C7E">
        <w:rPr>
          <w:rFonts w:ascii="Times New Roman" w:eastAsia="Times New Roman" w:hAnsi="Times New Roman" w:cs="Times New Roman"/>
          <w:b/>
          <w:bCs/>
          <w:i/>
          <w:iCs/>
          <w:color w:val="000000" w:themeColor="text1"/>
          <w:kern w:val="0"/>
          <w:sz w:val="21"/>
          <w:szCs w:val="21"/>
          <w14:ligatures w14:val="none"/>
        </w:rPr>
        <w:t xml:space="preserve">Figure </w:t>
      </w:r>
      <w:r w:rsidR="00004358">
        <w:rPr>
          <w:rFonts w:ascii="Times New Roman" w:eastAsia="Times New Roman" w:hAnsi="Times New Roman" w:cs="Times New Roman"/>
          <w:b/>
          <w:bCs/>
          <w:i/>
          <w:iCs/>
          <w:color w:val="000000" w:themeColor="text1"/>
          <w:kern w:val="0"/>
          <w:sz w:val="21"/>
          <w:szCs w:val="21"/>
          <w14:ligatures w14:val="none"/>
        </w:rPr>
        <w:t>3</w:t>
      </w:r>
      <w:r w:rsidRPr="00F56C7E">
        <w:rPr>
          <w:rFonts w:ascii="Times New Roman" w:eastAsia="Times New Roman" w:hAnsi="Times New Roman" w:cs="Times New Roman"/>
          <w:b/>
          <w:bCs/>
          <w:i/>
          <w:iCs/>
          <w:color w:val="000000" w:themeColor="text1"/>
          <w:kern w:val="0"/>
          <w:sz w:val="21"/>
          <w:szCs w:val="21"/>
          <w14:ligatures w14:val="none"/>
        </w:rPr>
        <w:t>. Coverage of 95% confidence intervals for true predictors across selection methods and scenarios.</w:t>
      </w:r>
      <w:r w:rsidRPr="00F56C7E">
        <w:rPr>
          <w:rFonts w:ascii="Times New Roman" w:eastAsia="Times New Roman" w:hAnsi="Times New Roman" w:cs="Times New Roman"/>
          <w:i/>
          <w:iCs/>
          <w:color w:val="000000" w:themeColor="text1"/>
          <w:kern w:val="0"/>
          <w:sz w:val="21"/>
          <w:szCs w:val="21"/>
          <w14:ligatures w14:val="none"/>
        </w:rPr>
        <w:t xml:space="preserve"> Cells display coverage probabilities for the five true predictors (V01–V05) across 10,000 simulation iterations. Rows correspond to variable selection methods, while panels are stratified by sample size and predictor correlation. </w:t>
      </w:r>
      <w:r w:rsidRPr="00F56C7E">
        <w:rPr>
          <w:rFonts w:ascii="Times New Roman" w:hAnsi="Times New Roman" w:cs="Times New Roman"/>
          <w:i/>
          <w:iCs/>
          <w:color w:val="000000" w:themeColor="text1"/>
          <w:sz w:val="21"/>
          <w:szCs w:val="21"/>
        </w:rPr>
        <w:t>Coverage values closer to the nominal 95% level appear lighter (white), while darker red cells indicate substantial non-coverage.</w:t>
      </w:r>
      <w:r w:rsidRPr="008E02D4">
        <w:rPr>
          <w:rFonts w:ascii="Times New Roman" w:hAnsi="Times New Roman" w:cs="Times New Roman"/>
          <w:color w:val="000000" w:themeColor="text1"/>
          <w:sz w:val="21"/>
          <w:szCs w:val="21"/>
        </w:rPr>
        <w:t xml:space="preserve"> </w:t>
      </w:r>
    </w:p>
    <w:p w14:paraId="7AB4B634" w14:textId="6B6B82A7" w:rsidR="00C67BBC" w:rsidRPr="00C67BBC" w:rsidRDefault="00C32C28" w:rsidP="00C32C28">
      <w:pPr>
        <w:pStyle w:val="p1"/>
        <w:spacing w:line="480" w:lineRule="auto"/>
        <w:rPr>
          <w:rFonts w:eastAsiaTheme="minorHAnsi"/>
          <w:kern w:val="2"/>
          <w14:ligatures w14:val="standardContextual"/>
        </w:rPr>
      </w:pPr>
      <w:r w:rsidRPr="00C67BBC">
        <w:rPr>
          <w:rFonts w:eastAsiaTheme="minorHAnsi"/>
          <w:kern w:val="2"/>
          <w14:ligatures w14:val="standardContextual"/>
        </w:rPr>
        <w:t>Coverage generally declined as predictor correlation increased</w:t>
      </w:r>
      <w:r>
        <w:t>, particularly for smaller-effect predictors</w:t>
      </w:r>
      <w:r>
        <w:t xml:space="preserve"> </w:t>
      </w:r>
      <w:r w:rsidRPr="00C67BBC">
        <w:rPr>
          <w:rFonts w:eastAsiaTheme="minorHAnsi"/>
          <w:kern w:val="2"/>
          <w14:ligatures w14:val="standardContextual"/>
        </w:rPr>
        <w:t>(V01)</w:t>
      </w:r>
      <w:r>
        <w:t>. C</w:t>
      </w:r>
      <w:r>
        <w:t xml:space="preserve">onservative methods </w:t>
      </w:r>
      <w:r>
        <w:t>exhibited the greatest non-coverage due to more frequent omissions of true predictors, while liberal methods had coverage closer to the nominal levels across most scenarios.</w:t>
      </w:r>
      <w:r>
        <w:rPr>
          <w:rFonts w:eastAsiaTheme="minorHAnsi"/>
          <w:kern w:val="2"/>
          <w14:ligatures w14:val="standardContextual"/>
        </w:rPr>
        <w:t xml:space="preserve"> </w:t>
      </w:r>
      <w:r w:rsidR="00C67BBC" w:rsidRPr="00C67BBC">
        <w:rPr>
          <w:rFonts w:eastAsiaTheme="minorHAnsi"/>
          <w:kern w:val="2"/>
          <w14:ligatures w14:val="standardContextual"/>
        </w:rPr>
        <w:t xml:space="preserve">Increasing the sample size improved coverage performance overall, although substantial </w:t>
      </w:r>
      <w:r w:rsidR="00CB1C22">
        <w:rPr>
          <w:rFonts w:eastAsiaTheme="minorHAnsi"/>
          <w:kern w:val="2"/>
          <w14:ligatures w14:val="standardContextual"/>
        </w:rPr>
        <w:t>non-coverage</w:t>
      </w:r>
      <w:r w:rsidR="00C67BBC" w:rsidRPr="00C67BBC">
        <w:rPr>
          <w:rFonts w:eastAsiaTheme="minorHAnsi"/>
          <w:kern w:val="2"/>
          <w14:ligatures w14:val="standardContextual"/>
        </w:rPr>
        <w:t xml:space="preserve"> for </w:t>
      </w:r>
      <w:r w:rsidR="00B34006">
        <w:t xml:space="preserve">predictors with smaller true effect sizes </w:t>
      </w:r>
      <w:r w:rsidR="00C67BBC" w:rsidRPr="00C67BBC">
        <w:rPr>
          <w:rFonts w:eastAsiaTheme="minorHAnsi"/>
          <w:kern w:val="2"/>
          <w14:ligatures w14:val="standardContextual"/>
        </w:rPr>
        <w:t>remained under strong correlation.</w:t>
      </w:r>
    </w:p>
    <w:p w14:paraId="6E6C27E2" w14:textId="31E24AD4" w:rsidR="003A3A12" w:rsidRDefault="001247DC" w:rsidP="003A3A12">
      <w:pPr>
        <w:pStyle w:val="Heading2"/>
      </w:pPr>
      <w:r>
        <w:t>5</w:t>
      </w:r>
      <w:r w:rsidR="003A3A12">
        <w:t xml:space="preserve">. </w:t>
      </w:r>
      <w:r w:rsidR="004005EF">
        <w:t>Discussion</w:t>
      </w:r>
    </w:p>
    <w:p w14:paraId="67A3060E" w14:textId="1DC8C568" w:rsidR="0064293A" w:rsidRPr="0064293A" w:rsidRDefault="0057672C" w:rsidP="006A078B">
      <w:pPr>
        <w:pStyle w:val="p1"/>
        <w:spacing w:line="480" w:lineRule="auto"/>
      </w:pPr>
      <w:r>
        <w:t xml:space="preserve">The simulation results demonstrated clear trade-offs between selection accuracy, model </w:t>
      </w:r>
      <w:r w:rsidR="006F176C">
        <w:t>parsimony</w:t>
      </w:r>
      <w:r>
        <w:t>, and inferential performance. Liberal methods achieved higher sensitivity</w:t>
      </w:r>
      <w:r w:rsidR="006F176C">
        <w:t xml:space="preserve"> (TPR)</w:t>
      </w:r>
      <w:r>
        <w:t xml:space="preserve"> and better </w:t>
      </w:r>
      <w:r>
        <w:t>coverage but</w:t>
      </w:r>
      <w:r>
        <w:t xml:space="preserve"> also selected more null predictors and produced larger models. Conservative </w:t>
      </w:r>
      <w:r>
        <w:lastRenderedPageBreak/>
        <w:t xml:space="preserve">methods reduced false positive selection but </w:t>
      </w:r>
      <w:r w:rsidR="00EE2478">
        <w:t>exhibited worse performance for selecting predictors with smaller true effects (V01), although stronger correlation reduced selection probability for these small effects across all methods</w:t>
      </w:r>
      <w:r w:rsidR="0067440D">
        <w:t xml:space="preserve"> (Supplementary Table)</w:t>
      </w:r>
      <w:r w:rsidR="00EE2478">
        <w:t>.</w:t>
      </w:r>
      <w:r w:rsidR="00A90A7A">
        <w:t xml:space="preserve"> </w:t>
      </w:r>
      <w:r>
        <w:t xml:space="preserve">Increasing predictor correlation consistently worsened performance across </w:t>
      </w:r>
      <w:r w:rsidR="00EE2478">
        <w:t xml:space="preserve">all </w:t>
      </w:r>
      <w:r>
        <w:t>methods, while larger sample sizes improved most metrics.</w:t>
      </w:r>
      <w:r w:rsidR="00A90A7A">
        <w:t xml:space="preserve"> </w:t>
      </w:r>
      <w:r w:rsidR="0064293A" w:rsidRPr="0064293A">
        <w:rPr>
          <w:rFonts w:eastAsiaTheme="minorHAnsi"/>
          <w:kern w:val="2"/>
          <w14:ligatures w14:val="standardContextual"/>
        </w:rPr>
        <w:t xml:space="preserve">The results also highlight the importance of evaluating post-selection inference jointly with variable selection performance. </w:t>
      </w:r>
    </w:p>
    <w:p w14:paraId="7E77B864" w14:textId="06F7D358" w:rsidR="001247DC" w:rsidRDefault="001247DC" w:rsidP="001247DC">
      <w:pPr>
        <w:pStyle w:val="Heading4"/>
        <w:contextualSpacing/>
      </w:pPr>
      <w:r>
        <w:t>5.1</w:t>
      </w:r>
      <w:r w:rsidRPr="00FA7D62">
        <w:t xml:space="preserve"> </w:t>
      </w:r>
      <w:r>
        <w:t xml:space="preserve">Limitations </w:t>
      </w:r>
    </w:p>
    <w:p w14:paraId="6A620D36" w14:textId="6C0149C7" w:rsidR="001B46C0" w:rsidRDefault="00AA360E" w:rsidP="00AA360E">
      <w:pPr>
        <w:pStyle w:val="p1"/>
        <w:spacing w:line="480" w:lineRule="auto"/>
      </w:pPr>
      <w:r>
        <w:t xml:space="preserve">Several limitations should be noted. First, the simulation considered only linear regression models with normally distributed errors and continuous predictors under an exchangeable correlation structure. Results may differ under alternative model assumptions, non-normal errors, or more complex </w:t>
      </w:r>
      <w:r w:rsidR="00A41035">
        <w:t>correlation</w:t>
      </w:r>
      <w:r>
        <w:t xml:space="preserve"> structures. Second, only one </w:t>
      </w:r>
      <w:r w:rsidR="00EA0C6D">
        <w:t>configuration</w:t>
      </w:r>
      <w:r>
        <w:t xml:space="preserve"> setting (</w:t>
      </w:r>
      <w:r>
        <w:rPr>
          <w:rStyle w:val="s1"/>
        </w:rPr>
        <w:t>p = 20</w:t>
      </w:r>
      <w:r>
        <w:t xml:space="preserve">, with 5 true predictors) and a limited set of coefficient magnitudes were evaluated. Third, </w:t>
      </w:r>
      <w:r w:rsidR="00A41035">
        <w:t>CI</w:t>
      </w:r>
      <w:r>
        <w:t xml:space="preserve"> coverage was assessed after variable selection by </w:t>
      </w:r>
      <w:r w:rsidR="00A41035">
        <w:t>setting</w:t>
      </w:r>
      <w:r>
        <w:t xml:space="preserve"> non-selected predictors coefficient estimates of zero, which </w:t>
      </w:r>
      <w:r w:rsidR="00DA4342">
        <w:t>counts as non-coverage</w:t>
      </w:r>
      <w:r>
        <w:t xml:space="preserve">. </w:t>
      </w:r>
      <w:r w:rsidR="00DA4342">
        <w:t>Therefore</w:t>
      </w:r>
      <w:r>
        <w:t>, alternative definitions of coverage may produce different conclusions.</w:t>
      </w:r>
    </w:p>
    <w:p w14:paraId="225D39DB" w14:textId="55014197" w:rsidR="00AA360E" w:rsidRPr="00AA360E" w:rsidRDefault="001B46C0" w:rsidP="0042605C">
      <w:pPr>
        <w:pStyle w:val="p1"/>
        <w:spacing w:line="480" w:lineRule="auto"/>
      </w:pPr>
      <w:r>
        <w:t xml:space="preserve">Monte Carlo standard error calculations were based on formulas presented by Morris et al. (2018), but </w:t>
      </w:r>
      <w:r w:rsidR="00556A8E">
        <w:t>their correct</w:t>
      </w:r>
      <w:r>
        <w:t xml:space="preserve"> </w:t>
      </w:r>
      <w:r w:rsidR="00556A8E">
        <w:t>application</w:t>
      </w:r>
      <w:r>
        <w:t xml:space="preserve"> </w:t>
      </w:r>
      <w:r w:rsidR="00556A8E">
        <w:t>within this</w:t>
      </w:r>
      <w:r>
        <w:t xml:space="preserve"> project cannot be verified and </w:t>
      </w:r>
      <w:r w:rsidR="00556A8E">
        <w:t xml:space="preserve">therefore these results are </w:t>
      </w:r>
      <w:r>
        <w:t>presented</w:t>
      </w:r>
      <w:r w:rsidR="00556A8E">
        <w:t xml:space="preserve"> as </w:t>
      </w:r>
      <w:r>
        <w:t xml:space="preserve">supplementary materials. Finally, other important performance </w:t>
      </w:r>
      <w:r w:rsidR="00693B5D">
        <w:t>metrics</w:t>
      </w:r>
      <w:r>
        <w:t xml:space="preserve">, such as </w:t>
      </w:r>
      <w:r w:rsidR="003962E5">
        <w:t>model</w:t>
      </w:r>
      <w:r>
        <w:t xml:space="preserve"> convergence </w:t>
      </w:r>
      <w:r w:rsidR="003A1BD9">
        <w:t>were</w:t>
      </w:r>
      <w:r>
        <w:t xml:space="preserve"> not evaluated </w:t>
      </w:r>
      <w:r w:rsidR="003962E5">
        <w:t>but</w:t>
      </w:r>
      <w:r>
        <w:t xml:space="preserve"> may provide additional insight into performance</w:t>
      </w:r>
      <w:r w:rsidR="0042605C">
        <w:t>.</w:t>
      </w:r>
    </w:p>
    <w:p w14:paraId="7F30AC03" w14:textId="758A688B" w:rsidR="00DB3261" w:rsidRDefault="001247DC" w:rsidP="00AA360E">
      <w:pPr>
        <w:pStyle w:val="Heading4"/>
        <w:contextualSpacing/>
      </w:pPr>
      <w:r>
        <w:lastRenderedPageBreak/>
        <w:t>5.2</w:t>
      </w:r>
      <w:r w:rsidRPr="00FA7D62">
        <w:t xml:space="preserve"> </w:t>
      </w:r>
      <w:r>
        <w:t xml:space="preserve">Conclusions </w:t>
      </w:r>
    </w:p>
    <w:p w14:paraId="0AB02C4E" w14:textId="77777777" w:rsidR="00C26342" w:rsidRDefault="00C26342" w:rsidP="004F6081">
      <w:pPr>
        <w:pStyle w:val="p1"/>
        <w:spacing w:line="480" w:lineRule="auto"/>
      </w:pPr>
      <w:r>
        <w:t>Variable selection methods differed substantially in both selection accuracy and inferential performance. Liberal methods achieved higher sensitivity and coverage, while conservative methods produced smaller models with lower false positive rates. No single method uniformly outperformed the others, highlighting the trade-offs between prediction accuracy, sparsity, and post-selection inference.</w:t>
      </w:r>
    </w:p>
    <w:p w14:paraId="2A0BF2E1" w14:textId="77777777" w:rsidR="00C26342" w:rsidRPr="00C26342" w:rsidRDefault="00C26342" w:rsidP="00C26342"/>
    <w:p w14:paraId="34C83668" w14:textId="10E6D0EA" w:rsidR="00A645B6" w:rsidRDefault="00A645B6" w:rsidP="0098502F">
      <w:pPr>
        <w:jc w:val="center"/>
      </w:pPr>
    </w:p>
    <w:p w14:paraId="709C4751" w14:textId="77777777" w:rsidR="00085698" w:rsidRDefault="00085698" w:rsidP="00085698">
      <w:bookmarkStart w:id="14" w:name="_Toc228957662"/>
    </w:p>
    <w:p w14:paraId="73693EB7" w14:textId="77777777" w:rsidR="00085698" w:rsidRDefault="00085698" w:rsidP="00085698"/>
    <w:p w14:paraId="2C231422" w14:textId="77777777" w:rsidR="004F6081" w:rsidRDefault="004F6081" w:rsidP="00085698"/>
    <w:p w14:paraId="141E841D" w14:textId="77777777" w:rsidR="004F6081" w:rsidRDefault="004F6081" w:rsidP="00085698"/>
    <w:p w14:paraId="488FB7D4" w14:textId="77777777" w:rsidR="004F6081" w:rsidRDefault="004F6081" w:rsidP="00085698"/>
    <w:p w14:paraId="3732E7F0" w14:textId="77777777" w:rsidR="004F6081" w:rsidRDefault="004F6081" w:rsidP="00085698"/>
    <w:p w14:paraId="7C2D4E6C" w14:textId="77777777" w:rsidR="004F6081" w:rsidRDefault="004F6081" w:rsidP="00085698"/>
    <w:p w14:paraId="6E3BA709" w14:textId="77777777" w:rsidR="004F6081" w:rsidRDefault="004F6081" w:rsidP="00085698"/>
    <w:p w14:paraId="3DE94785" w14:textId="77777777" w:rsidR="004F6081" w:rsidRDefault="004F6081" w:rsidP="00085698"/>
    <w:p w14:paraId="1FEC3D71" w14:textId="77777777" w:rsidR="004F6081" w:rsidRDefault="004F6081" w:rsidP="00085698"/>
    <w:p w14:paraId="578CCAAE" w14:textId="77777777" w:rsidR="004F6081" w:rsidRDefault="004F6081" w:rsidP="00085698"/>
    <w:p w14:paraId="24CB2EDC" w14:textId="77777777" w:rsidR="004F6081" w:rsidRDefault="004F6081" w:rsidP="00085698"/>
    <w:p w14:paraId="7DBC9C3C" w14:textId="77777777" w:rsidR="004F6081" w:rsidRDefault="004F6081" w:rsidP="00085698"/>
    <w:p w14:paraId="0F8DEFF1" w14:textId="77777777" w:rsidR="004F6081" w:rsidRDefault="004F6081" w:rsidP="00085698"/>
    <w:p w14:paraId="0F14AB4B" w14:textId="77777777" w:rsidR="004F6081" w:rsidRDefault="004F6081" w:rsidP="00085698"/>
    <w:p w14:paraId="2CF734C5" w14:textId="77777777" w:rsidR="004F6081" w:rsidRDefault="004F6081" w:rsidP="00085698"/>
    <w:p w14:paraId="5F199E52" w14:textId="77777777" w:rsidR="004F6081" w:rsidRDefault="004F6081" w:rsidP="00085698"/>
    <w:p w14:paraId="11AD7D60" w14:textId="15013BB5" w:rsidR="00EC3832" w:rsidRDefault="00EC3832" w:rsidP="00EC3832">
      <w:pPr>
        <w:pStyle w:val="Heading2"/>
      </w:pPr>
      <w:r>
        <w:lastRenderedPageBreak/>
        <w:t>References</w:t>
      </w:r>
      <w:bookmarkEnd w:id="14"/>
    </w:p>
    <w:p w14:paraId="47AF89C4" w14:textId="77777777" w:rsidR="00EC3832" w:rsidRPr="00F50285" w:rsidRDefault="00EC3832" w:rsidP="00EC3832">
      <w:pPr>
        <w:rPr>
          <w:rFonts w:ascii="Times New Roman" w:hAnsi="Times New Roman" w:cs="Times New Roman"/>
          <w:color w:val="000000" w:themeColor="text1"/>
        </w:rPr>
      </w:pPr>
      <w:r w:rsidRPr="00F50285">
        <w:rPr>
          <w:rFonts w:ascii="Times New Roman" w:hAnsi="Times New Roman" w:cs="Times New Roman"/>
          <w:color w:val="000000" w:themeColor="text1"/>
        </w:rPr>
        <w:t>ChatGPT was used to check R code errors for some of the packages used and to grammar check (OpenAI, 2025).</w:t>
      </w:r>
    </w:p>
    <w:p w14:paraId="7F97F052" w14:textId="5910E0E3" w:rsidR="00EC3832" w:rsidRPr="00F50285" w:rsidRDefault="00EC3832" w:rsidP="00EC3832">
      <w:pPr>
        <w:rPr>
          <w:rFonts w:ascii="Times New Roman" w:hAnsi="Times New Roman" w:cs="Times New Roman"/>
        </w:rPr>
      </w:pPr>
      <w:r w:rsidRPr="00F50285">
        <w:rPr>
          <w:rFonts w:ascii="Times New Roman" w:hAnsi="Times New Roman" w:cs="Times New Roman"/>
        </w:rPr>
        <w:t xml:space="preserve">Morris, T. P., White, I. R., &amp; Crowther, M. J. (2018). Using simulation studies to evaluate statistical methods. </w:t>
      </w:r>
      <w:r w:rsidRPr="00F50285">
        <w:rPr>
          <w:rFonts w:ascii="Times New Roman" w:hAnsi="Times New Roman" w:cs="Times New Roman"/>
          <w:i/>
          <w:iCs/>
        </w:rPr>
        <w:t>Statistics in Medicine, 38</w:t>
      </w:r>
      <w:r w:rsidRPr="00F50285">
        <w:rPr>
          <w:rFonts w:ascii="Times New Roman" w:hAnsi="Times New Roman" w:cs="Times New Roman"/>
        </w:rPr>
        <w:t>(11), 2074–2102.</w:t>
      </w:r>
      <w:r w:rsidR="001D667A" w:rsidRPr="00F50285">
        <w:rPr>
          <w:rFonts w:ascii="Times New Roman" w:hAnsi="Times New Roman" w:cs="Times New Roman"/>
        </w:rPr>
        <w:t xml:space="preserve"> </w:t>
      </w:r>
      <w:r w:rsidRPr="00F50285">
        <w:rPr>
          <w:rFonts w:ascii="Times New Roman" w:hAnsi="Times New Roman" w:cs="Times New Roman"/>
        </w:rPr>
        <w:t>https://doi.org/10.1002/sim.8086</w:t>
      </w:r>
    </w:p>
    <w:p w14:paraId="4F6345BE" w14:textId="77777777" w:rsidR="004B5500" w:rsidRPr="00F50285" w:rsidRDefault="004B5500" w:rsidP="004B5500">
      <w:pPr>
        <w:rPr>
          <w:rFonts w:ascii="Times New Roman" w:hAnsi="Times New Roman" w:cs="Times New Roman"/>
          <w:color w:val="000000" w:themeColor="text1"/>
        </w:rPr>
      </w:pPr>
      <w:r w:rsidRPr="00F50285">
        <w:rPr>
          <w:rFonts w:ascii="Times New Roman" w:hAnsi="Times New Roman" w:cs="Times New Roman"/>
        </w:rPr>
        <w:t xml:space="preserve">Breheny, P. (2025). </w:t>
      </w:r>
      <w:proofErr w:type="spellStart"/>
      <w:r w:rsidRPr="00F50285">
        <w:rPr>
          <w:rFonts w:ascii="Times New Roman" w:hAnsi="Times New Roman" w:cs="Times New Roman"/>
          <w:i/>
          <w:iCs/>
        </w:rPr>
        <w:t>hdrm</w:t>
      </w:r>
      <w:proofErr w:type="spellEnd"/>
      <w:r w:rsidRPr="00F50285">
        <w:rPr>
          <w:rFonts w:ascii="Times New Roman" w:hAnsi="Times New Roman" w:cs="Times New Roman"/>
          <w:i/>
          <w:iCs/>
        </w:rPr>
        <w:t>: High-dimensional regression modeling</w:t>
      </w:r>
      <w:r w:rsidRPr="00F50285">
        <w:rPr>
          <w:rFonts w:ascii="Times New Roman" w:hAnsi="Times New Roman" w:cs="Times New Roman"/>
        </w:rPr>
        <w:t xml:space="preserve"> (Version 0.17.1) [R </w:t>
      </w:r>
      <w:r w:rsidRPr="00F50285">
        <w:rPr>
          <w:rFonts w:ascii="Times New Roman" w:hAnsi="Times New Roman" w:cs="Times New Roman"/>
          <w:color w:val="000000" w:themeColor="text1"/>
        </w:rPr>
        <w:t>package]. GitHub. https://github.com/pbreheny/hdrm</w:t>
      </w:r>
    </w:p>
    <w:p w14:paraId="36FE5ADB" w14:textId="6657E70E" w:rsidR="0092505F" w:rsidRPr="00F50285" w:rsidRDefault="0092505F" w:rsidP="0092505F">
      <w:pPr>
        <w:rPr>
          <w:rFonts w:ascii="Times New Roman" w:hAnsi="Times New Roman" w:cs="Times New Roman"/>
          <w:color w:val="000000" w:themeColor="text1"/>
        </w:rPr>
      </w:pPr>
      <w:r w:rsidRPr="00F50285">
        <w:rPr>
          <w:rFonts w:ascii="Times New Roman" w:hAnsi="Times New Roman" w:cs="Times New Roman"/>
          <w:color w:val="000000" w:themeColor="text1"/>
        </w:rPr>
        <w:t>Lindsey, J. K., &amp; Jones, B. (1998). Choosing among generalized linear models applied to medical data. Statistics in Medicine, 17(1), 59–68. https://doi.org/10.1002/(SICI)1097-0258(19980115)17:1&lt;</w:t>
      </w:r>
      <w:proofErr w:type="gramStart"/>
      <w:r w:rsidRPr="00F50285">
        <w:rPr>
          <w:rFonts w:ascii="Times New Roman" w:hAnsi="Times New Roman" w:cs="Times New Roman"/>
          <w:color w:val="000000" w:themeColor="text1"/>
        </w:rPr>
        <w:t>59::</w:t>
      </w:r>
      <w:proofErr w:type="gramEnd"/>
      <w:r w:rsidRPr="00F50285">
        <w:rPr>
          <w:rFonts w:ascii="Times New Roman" w:hAnsi="Times New Roman" w:cs="Times New Roman"/>
          <w:color w:val="000000" w:themeColor="text1"/>
        </w:rPr>
        <w:t>AID-SIM727&gt;3.0.CO;2-5  </w:t>
      </w:r>
    </w:p>
    <w:p w14:paraId="4C6EDCFD" w14:textId="62842592" w:rsidR="0092505F" w:rsidRPr="00F50285" w:rsidRDefault="0092505F" w:rsidP="0092505F">
      <w:pPr>
        <w:rPr>
          <w:rFonts w:ascii="Times New Roman" w:hAnsi="Times New Roman" w:cs="Times New Roman"/>
          <w:color w:val="000000" w:themeColor="text1"/>
        </w:rPr>
      </w:pPr>
      <w:proofErr w:type="spellStart"/>
      <w:r w:rsidRPr="00F50285">
        <w:rPr>
          <w:rFonts w:ascii="Times New Roman" w:hAnsi="Times New Roman" w:cs="Times New Roman"/>
          <w:color w:val="000000" w:themeColor="text1"/>
        </w:rPr>
        <w:t>Shtatland</w:t>
      </w:r>
      <w:proofErr w:type="spellEnd"/>
      <w:r w:rsidRPr="00F50285">
        <w:rPr>
          <w:rFonts w:ascii="Times New Roman" w:hAnsi="Times New Roman" w:cs="Times New Roman"/>
          <w:color w:val="000000" w:themeColor="text1"/>
        </w:rPr>
        <w:t>, E. S., Kleinman, K., &amp; Cain, E. M. (2003). Stepwise methods in using SAS PROC LOGISTIC and SAS Enterprise Miner for prediction. Proceedings of the Twenty-Eighth Annual SAS Users Group International Conference (SUGI 28). SAS Institute Inc.  </w:t>
      </w:r>
    </w:p>
    <w:p w14:paraId="181250AB" w14:textId="77777777" w:rsidR="00EC3832" w:rsidRDefault="00EC3832" w:rsidP="006807BB"/>
    <w:p w14:paraId="3009C6A1" w14:textId="1C6D4E73" w:rsidR="000258BB" w:rsidRDefault="000258BB" w:rsidP="000258BB">
      <w:pPr>
        <w:pStyle w:val="Heading2"/>
      </w:pPr>
      <w:r>
        <w:t>Supplementary Materials</w:t>
      </w:r>
    </w:p>
    <w:p w14:paraId="19E5DBB2" w14:textId="71D1B0EE" w:rsidR="000258BB" w:rsidRDefault="000258BB" w:rsidP="006807BB"/>
    <w:p w14:paraId="38A077A6" w14:textId="3360A629" w:rsidR="00A90A7A" w:rsidRDefault="00FA05B4" w:rsidP="006807BB">
      <w:r w:rsidRPr="00FA05B4">
        <w:drawing>
          <wp:inline distT="0" distB="0" distL="0" distR="0" wp14:anchorId="1DD33343" wp14:editId="624B32DC">
            <wp:extent cx="5943600" cy="3138170"/>
            <wp:effectExtent l="0" t="0" r="0" b="0"/>
            <wp:docPr id="203912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20437" name=""/>
                    <pic:cNvPicPr/>
                  </pic:nvPicPr>
                  <pic:blipFill>
                    <a:blip r:embed="rId10"/>
                    <a:stretch>
                      <a:fillRect/>
                    </a:stretch>
                  </pic:blipFill>
                  <pic:spPr>
                    <a:xfrm>
                      <a:off x="0" y="0"/>
                      <a:ext cx="5943600" cy="3138170"/>
                    </a:xfrm>
                    <a:prstGeom prst="rect">
                      <a:avLst/>
                    </a:prstGeom>
                  </pic:spPr>
                </pic:pic>
              </a:graphicData>
            </a:graphic>
          </wp:inline>
        </w:drawing>
      </w:r>
    </w:p>
    <w:p w14:paraId="09617679" w14:textId="18A3C818" w:rsidR="002C0717" w:rsidRPr="002C0717" w:rsidRDefault="002C0717" w:rsidP="002C0717">
      <w:pPr>
        <w:pStyle w:val="p1"/>
        <w:rPr>
          <w:i/>
          <w:iCs/>
          <w:sz w:val="21"/>
          <w:szCs w:val="21"/>
        </w:rPr>
      </w:pPr>
      <w:r>
        <w:rPr>
          <w:b/>
          <w:bCs/>
          <w:i/>
          <w:iCs/>
          <w:color w:val="000000" w:themeColor="text1"/>
          <w:sz w:val="21"/>
          <w:szCs w:val="21"/>
        </w:rPr>
        <w:t xml:space="preserve">Supplementary </w:t>
      </w:r>
      <w:r w:rsidRPr="002C0717">
        <w:rPr>
          <w:b/>
          <w:bCs/>
          <w:i/>
          <w:iCs/>
          <w:color w:val="000000" w:themeColor="text1"/>
          <w:sz w:val="21"/>
          <w:szCs w:val="21"/>
        </w:rPr>
        <w:t xml:space="preserve">Figure X. </w:t>
      </w:r>
      <w:r w:rsidRPr="002C0717">
        <w:rPr>
          <w:b/>
          <w:bCs/>
          <w:i/>
          <w:iCs/>
          <w:sz w:val="21"/>
          <w:szCs w:val="21"/>
        </w:rPr>
        <w:t>Selection probability for true predictors across variable selection methods and simulation scenarios.</w:t>
      </w:r>
      <w:r>
        <w:rPr>
          <w:i/>
          <w:iCs/>
          <w:sz w:val="21"/>
          <w:szCs w:val="21"/>
        </w:rPr>
        <w:t xml:space="preserve"> </w:t>
      </w:r>
      <w:r w:rsidRPr="002C0717">
        <w:rPr>
          <w:i/>
          <w:iCs/>
          <w:sz w:val="21"/>
          <w:szCs w:val="21"/>
        </w:rPr>
        <w:t xml:space="preserve">Cells display the proportion of simulation iterations in which each true predictor (V01–V05) was retained in the final selected model across 10,000 simulations per scenario. Results are stratified by sample size and predictor correlation. </w:t>
      </w:r>
    </w:p>
    <w:p w14:paraId="03EF64E8" w14:textId="7B0ABDE9" w:rsidR="002C0717" w:rsidRPr="008E02D4" w:rsidRDefault="002C0717" w:rsidP="002C0717">
      <w:pPr>
        <w:pStyle w:val="Caption"/>
        <w:contextualSpacing/>
        <w:rPr>
          <w:color w:val="000000" w:themeColor="text1"/>
          <w:sz w:val="21"/>
          <w:szCs w:val="21"/>
        </w:rPr>
      </w:pPr>
    </w:p>
    <w:p w14:paraId="08C18A9D" w14:textId="77777777" w:rsidR="002C0717" w:rsidRPr="006807BB" w:rsidRDefault="002C0717" w:rsidP="006807BB"/>
    <w:sectPr w:rsidR="002C0717" w:rsidRPr="006807BB" w:rsidSect="0052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6B4A1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924F8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1604C8"/>
    <w:multiLevelType w:val="multilevel"/>
    <w:tmpl w:val="5D4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B552F"/>
    <w:multiLevelType w:val="hybridMultilevel"/>
    <w:tmpl w:val="56BE2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201B2"/>
    <w:multiLevelType w:val="hybridMultilevel"/>
    <w:tmpl w:val="B6546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F4ED2"/>
    <w:multiLevelType w:val="multilevel"/>
    <w:tmpl w:val="0CD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C5D2C"/>
    <w:multiLevelType w:val="hybridMultilevel"/>
    <w:tmpl w:val="BC302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0D46D0"/>
    <w:multiLevelType w:val="hybridMultilevel"/>
    <w:tmpl w:val="C3CCD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793381"/>
    <w:multiLevelType w:val="multilevel"/>
    <w:tmpl w:val="1B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9F0403"/>
    <w:multiLevelType w:val="hybridMultilevel"/>
    <w:tmpl w:val="C3CC0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6B1676"/>
    <w:multiLevelType w:val="multilevel"/>
    <w:tmpl w:val="A912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302049">
    <w:abstractNumId w:val="5"/>
  </w:num>
  <w:num w:numId="2" w16cid:durableId="1785618220">
    <w:abstractNumId w:val="7"/>
  </w:num>
  <w:num w:numId="3" w16cid:durableId="464080542">
    <w:abstractNumId w:val="12"/>
  </w:num>
  <w:num w:numId="4" w16cid:durableId="1792894366">
    <w:abstractNumId w:val="2"/>
  </w:num>
  <w:num w:numId="5" w16cid:durableId="521092250">
    <w:abstractNumId w:val="11"/>
  </w:num>
  <w:num w:numId="6" w16cid:durableId="1731269288">
    <w:abstractNumId w:val="0"/>
  </w:num>
  <w:num w:numId="7" w16cid:durableId="870188376">
    <w:abstractNumId w:val="9"/>
  </w:num>
  <w:num w:numId="8" w16cid:durableId="343940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1146216">
    <w:abstractNumId w:val="8"/>
  </w:num>
  <w:num w:numId="10" w16cid:durableId="1190071664">
    <w:abstractNumId w:val="3"/>
  </w:num>
  <w:num w:numId="11" w16cid:durableId="1893299263">
    <w:abstractNumId w:val="14"/>
  </w:num>
  <w:num w:numId="12" w16cid:durableId="1520049945">
    <w:abstractNumId w:val="4"/>
  </w:num>
  <w:num w:numId="13" w16cid:durableId="447314263">
    <w:abstractNumId w:val="6"/>
  </w:num>
  <w:num w:numId="14" w16cid:durableId="353196410">
    <w:abstractNumId w:val="10"/>
  </w:num>
  <w:num w:numId="15" w16cid:durableId="20349613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0F05"/>
    <w:rsid w:val="000024AA"/>
    <w:rsid w:val="00004358"/>
    <w:rsid w:val="000045B5"/>
    <w:rsid w:val="00011E36"/>
    <w:rsid w:val="00012B65"/>
    <w:rsid w:val="000138A4"/>
    <w:rsid w:val="00017A7C"/>
    <w:rsid w:val="00020714"/>
    <w:rsid w:val="0002141C"/>
    <w:rsid w:val="00022FD2"/>
    <w:rsid w:val="0002461F"/>
    <w:rsid w:val="00024D90"/>
    <w:rsid w:val="000258BB"/>
    <w:rsid w:val="000271D0"/>
    <w:rsid w:val="00030494"/>
    <w:rsid w:val="000375A9"/>
    <w:rsid w:val="00040D1B"/>
    <w:rsid w:val="00043E24"/>
    <w:rsid w:val="000463BA"/>
    <w:rsid w:val="0005216D"/>
    <w:rsid w:val="0006031E"/>
    <w:rsid w:val="0006081C"/>
    <w:rsid w:val="00061D15"/>
    <w:rsid w:val="000649B3"/>
    <w:rsid w:val="00064C20"/>
    <w:rsid w:val="00064CE9"/>
    <w:rsid w:val="0006566F"/>
    <w:rsid w:val="00072DBD"/>
    <w:rsid w:val="000754E3"/>
    <w:rsid w:val="00080712"/>
    <w:rsid w:val="000809BC"/>
    <w:rsid w:val="00081C77"/>
    <w:rsid w:val="000845C3"/>
    <w:rsid w:val="00085698"/>
    <w:rsid w:val="00085F10"/>
    <w:rsid w:val="000907A9"/>
    <w:rsid w:val="0009171C"/>
    <w:rsid w:val="000925B8"/>
    <w:rsid w:val="000A1602"/>
    <w:rsid w:val="000A4C8F"/>
    <w:rsid w:val="000A6BB5"/>
    <w:rsid w:val="000B3A48"/>
    <w:rsid w:val="000B6D7D"/>
    <w:rsid w:val="000C6035"/>
    <w:rsid w:val="000D0105"/>
    <w:rsid w:val="000D30A0"/>
    <w:rsid w:val="000E0516"/>
    <w:rsid w:val="000E0BBE"/>
    <w:rsid w:val="000E5A3C"/>
    <w:rsid w:val="000E72B7"/>
    <w:rsid w:val="000F1347"/>
    <w:rsid w:val="000F3484"/>
    <w:rsid w:val="000F4D67"/>
    <w:rsid w:val="00101B83"/>
    <w:rsid w:val="00105C86"/>
    <w:rsid w:val="00105E03"/>
    <w:rsid w:val="00106C8C"/>
    <w:rsid w:val="00107AA5"/>
    <w:rsid w:val="0011046D"/>
    <w:rsid w:val="001116D8"/>
    <w:rsid w:val="001139CA"/>
    <w:rsid w:val="00115233"/>
    <w:rsid w:val="0011554B"/>
    <w:rsid w:val="001163BB"/>
    <w:rsid w:val="001247DC"/>
    <w:rsid w:val="001271A1"/>
    <w:rsid w:val="0013279C"/>
    <w:rsid w:val="00137ABE"/>
    <w:rsid w:val="00141017"/>
    <w:rsid w:val="00141F4D"/>
    <w:rsid w:val="00151B42"/>
    <w:rsid w:val="00161343"/>
    <w:rsid w:val="00165A98"/>
    <w:rsid w:val="00166902"/>
    <w:rsid w:val="0016792D"/>
    <w:rsid w:val="00172D30"/>
    <w:rsid w:val="00173BAA"/>
    <w:rsid w:val="001840D4"/>
    <w:rsid w:val="00186BED"/>
    <w:rsid w:val="00190B2C"/>
    <w:rsid w:val="00190FCC"/>
    <w:rsid w:val="00191B21"/>
    <w:rsid w:val="00194D98"/>
    <w:rsid w:val="001979C9"/>
    <w:rsid w:val="001A0276"/>
    <w:rsid w:val="001A2FCF"/>
    <w:rsid w:val="001B192F"/>
    <w:rsid w:val="001B3FE9"/>
    <w:rsid w:val="001B46C0"/>
    <w:rsid w:val="001C1883"/>
    <w:rsid w:val="001C6ADC"/>
    <w:rsid w:val="001C770D"/>
    <w:rsid w:val="001C78C3"/>
    <w:rsid w:val="001D46E0"/>
    <w:rsid w:val="001D667A"/>
    <w:rsid w:val="001E0826"/>
    <w:rsid w:val="001E24A6"/>
    <w:rsid w:val="001E3499"/>
    <w:rsid w:val="001E34E4"/>
    <w:rsid w:val="001F0A5C"/>
    <w:rsid w:val="001F1726"/>
    <w:rsid w:val="0020070A"/>
    <w:rsid w:val="00206B36"/>
    <w:rsid w:val="00206D06"/>
    <w:rsid w:val="00210067"/>
    <w:rsid w:val="002121F2"/>
    <w:rsid w:val="00213815"/>
    <w:rsid w:val="00216171"/>
    <w:rsid w:val="00220B7A"/>
    <w:rsid w:val="002225E4"/>
    <w:rsid w:val="002235BF"/>
    <w:rsid w:val="00225599"/>
    <w:rsid w:val="002338AA"/>
    <w:rsid w:val="0023493E"/>
    <w:rsid w:val="0023592B"/>
    <w:rsid w:val="00236314"/>
    <w:rsid w:val="002408F5"/>
    <w:rsid w:val="002417A8"/>
    <w:rsid w:val="00244B8C"/>
    <w:rsid w:val="002500A9"/>
    <w:rsid w:val="00250318"/>
    <w:rsid w:val="00260ACF"/>
    <w:rsid w:val="00261BE0"/>
    <w:rsid w:val="0026233A"/>
    <w:rsid w:val="00264704"/>
    <w:rsid w:val="00267F27"/>
    <w:rsid w:val="0027086D"/>
    <w:rsid w:val="00273C1B"/>
    <w:rsid w:val="00274A61"/>
    <w:rsid w:val="00274C30"/>
    <w:rsid w:val="002777EC"/>
    <w:rsid w:val="00277DF5"/>
    <w:rsid w:val="0028319E"/>
    <w:rsid w:val="002838FE"/>
    <w:rsid w:val="00283FF8"/>
    <w:rsid w:val="00285908"/>
    <w:rsid w:val="0028592A"/>
    <w:rsid w:val="00291A70"/>
    <w:rsid w:val="0029593D"/>
    <w:rsid w:val="00296411"/>
    <w:rsid w:val="002965DD"/>
    <w:rsid w:val="002976D7"/>
    <w:rsid w:val="002A145B"/>
    <w:rsid w:val="002A1AEA"/>
    <w:rsid w:val="002A2E80"/>
    <w:rsid w:val="002A53D2"/>
    <w:rsid w:val="002B182C"/>
    <w:rsid w:val="002B37B4"/>
    <w:rsid w:val="002B7208"/>
    <w:rsid w:val="002C0717"/>
    <w:rsid w:val="002C349F"/>
    <w:rsid w:val="002C3ED1"/>
    <w:rsid w:val="002C4EBA"/>
    <w:rsid w:val="002C4F6B"/>
    <w:rsid w:val="002C6FA6"/>
    <w:rsid w:val="002D12EC"/>
    <w:rsid w:val="002D2583"/>
    <w:rsid w:val="002E1632"/>
    <w:rsid w:val="002E1D26"/>
    <w:rsid w:val="002E3CF9"/>
    <w:rsid w:val="002E4E96"/>
    <w:rsid w:val="002F024B"/>
    <w:rsid w:val="002F610B"/>
    <w:rsid w:val="00301111"/>
    <w:rsid w:val="003014C6"/>
    <w:rsid w:val="00306733"/>
    <w:rsid w:val="003200BE"/>
    <w:rsid w:val="003224B4"/>
    <w:rsid w:val="00322D16"/>
    <w:rsid w:val="00322E5F"/>
    <w:rsid w:val="00326722"/>
    <w:rsid w:val="00327852"/>
    <w:rsid w:val="003278D2"/>
    <w:rsid w:val="00332BA4"/>
    <w:rsid w:val="003354D1"/>
    <w:rsid w:val="00337343"/>
    <w:rsid w:val="00341B83"/>
    <w:rsid w:val="00343783"/>
    <w:rsid w:val="0034563A"/>
    <w:rsid w:val="00347515"/>
    <w:rsid w:val="00356382"/>
    <w:rsid w:val="0036126A"/>
    <w:rsid w:val="00365AEC"/>
    <w:rsid w:val="00365CAF"/>
    <w:rsid w:val="00373098"/>
    <w:rsid w:val="00373813"/>
    <w:rsid w:val="003748B0"/>
    <w:rsid w:val="00375008"/>
    <w:rsid w:val="00377AF5"/>
    <w:rsid w:val="0038582D"/>
    <w:rsid w:val="003962E5"/>
    <w:rsid w:val="003A07A8"/>
    <w:rsid w:val="003A1BD9"/>
    <w:rsid w:val="003A3A12"/>
    <w:rsid w:val="003A3F34"/>
    <w:rsid w:val="003C0B55"/>
    <w:rsid w:val="003C1071"/>
    <w:rsid w:val="003C1583"/>
    <w:rsid w:val="003D1A11"/>
    <w:rsid w:val="003D4BE1"/>
    <w:rsid w:val="003D78AD"/>
    <w:rsid w:val="003E02FF"/>
    <w:rsid w:val="003E0C04"/>
    <w:rsid w:val="003E1EB9"/>
    <w:rsid w:val="003E399D"/>
    <w:rsid w:val="003E3AC1"/>
    <w:rsid w:val="003E64B7"/>
    <w:rsid w:val="003E7BDD"/>
    <w:rsid w:val="004005EF"/>
    <w:rsid w:val="00401CD1"/>
    <w:rsid w:val="004037DE"/>
    <w:rsid w:val="00410369"/>
    <w:rsid w:val="004168BE"/>
    <w:rsid w:val="004170FB"/>
    <w:rsid w:val="004218A3"/>
    <w:rsid w:val="0042605C"/>
    <w:rsid w:val="004303DA"/>
    <w:rsid w:val="00433620"/>
    <w:rsid w:val="00436CEC"/>
    <w:rsid w:val="00443397"/>
    <w:rsid w:val="0044653E"/>
    <w:rsid w:val="00446CBC"/>
    <w:rsid w:val="00457714"/>
    <w:rsid w:val="004665FD"/>
    <w:rsid w:val="00467414"/>
    <w:rsid w:val="004700B2"/>
    <w:rsid w:val="00474AC5"/>
    <w:rsid w:val="0049007E"/>
    <w:rsid w:val="004901BE"/>
    <w:rsid w:val="00492400"/>
    <w:rsid w:val="00493A97"/>
    <w:rsid w:val="00494C2D"/>
    <w:rsid w:val="00496160"/>
    <w:rsid w:val="004A2A9D"/>
    <w:rsid w:val="004A5CC2"/>
    <w:rsid w:val="004B1057"/>
    <w:rsid w:val="004B3A73"/>
    <w:rsid w:val="004B5500"/>
    <w:rsid w:val="004B7207"/>
    <w:rsid w:val="004C129A"/>
    <w:rsid w:val="004C70A9"/>
    <w:rsid w:val="004C7411"/>
    <w:rsid w:val="004D274B"/>
    <w:rsid w:val="004D4BA5"/>
    <w:rsid w:val="004D73E9"/>
    <w:rsid w:val="004D78F0"/>
    <w:rsid w:val="004E5A03"/>
    <w:rsid w:val="004F1BB3"/>
    <w:rsid w:val="004F287F"/>
    <w:rsid w:val="004F2F53"/>
    <w:rsid w:val="004F6081"/>
    <w:rsid w:val="00510A64"/>
    <w:rsid w:val="00511BBA"/>
    <w:rsid w:val="00512442"/>
    <w:rsid w:val="00513576"/>
    <w:rsid w:val="00513BAF"/>
    <w:rsid w:val="00514659"/>
    <w:rsid w:val="00516FF9"/>
    <w:rsid w:val="0051747D"/>
    <w:rsid w:val="00525D92"/>
    <w:rsid w:val="00526413"/>
    <w:rsid w:val="00526C74"/>
    <w:rsid w:val="00527F7C"/>
    <w:rsid w:val="00527FA3"/>
    <w:rsid w:val="0053137D"/>
    <w:rsid w:val="00531902"/>
    <w:rsid w:val="00532040"/>
    <w:rsid w:val="0053749F"/>
    <w:rsid w:val="00544923"/>
    <w:rsid w:val="00546878"/>
    <w:rsid w:val="00552381"/>
    <w:rsid w:val="00556A8E"/>
    <w:rsid w:val="00556FD1"/>
    <w:rsid w:val="0055719E"/>
    <w:rsid w:val="00562125"/>
    <w:rsid w:val="0056373B"/>
    <w:rsid w:val="0057165C"/>
    <w:rsid w:val="0057672C"/>
    <w:rsid w:val="00584FE1"/>
    <w:rsid w:val="005871FF"/>
    <w:rsid w:val="005917CB"/>
    <w:rsid w:val="00594181"/>
    <w:rsid w:val="005A3C5C"/>
    <w:rsid w:val="005A4B2D"/>
    <w:rsid w:val="005A4C30"/>
    <w:rsid w:val="005B0B69"/>
    <w:rsid w:val="005B0C07"/>
    <w:rsid w:val="005B10D8"/>
    <w:rsid w:val="005B301B"/>
    <w:rsid w:val="005B3027"/>
    <w:rsid w:val="005B4357"/>
    <w:rsid w:val="005B7666"/>
    <w:rsid w:val="005C0173"/>
    <w:rsid w:val="005C1D1A"/>
    <w:rsid w:val="005C38A5"/>
    <w:rsid w:val="005C6BBF"/>
    <w:rsid w:val="005D511E"/>
    <w:rsid w:val="005D57B1"/>
    <w:rsid w:val="005E140B"/>
    <w:rsid w:val="005E5D00"/>
    <w:rsid w:val="005E654C"/>
    <w:rsid w:val="005E666D"/>
    <w:rsid w:val="005E7EE9"/>
    <w:rsid w:val="005F679E"/>
    <w:rsid w:val="005F70DD"/>
    <w:rsid w:val="00600723"/>
    <w:rsid w:val="00605E4A"/>
    <w:rsid w:val="00606E91"/>
    <w:rsid w:val="00607303"/>
    <w:rsid w:val="006074AD"/>
    <w:rsid w:val="00610754"/>
    <w:rsid w:val="00615880"/>
    <w:rsid w:val="00617B5F"/>
    <w:rsid w:val="00627A78"/>
    <w:rsid w:val="006333D3"/>
    <w:rsid w:val="006423D7"/>
    <w:rsid w:val="0064293A"/>
    <w:rsid w:val="0064401D"/>
    <w:rsid w:val="00644986"/>
    <w:rsid w:val="00644C20"/>
    <w:rsid w:val="00654DB0"/>
    <w:rsid w:val="00656BA2"/>
    <w:rsid w:val="006734D5"/>
    <w:rsid w:val="0067440D"/>
    <w:rsid w:val="006807BB"/>
    <w:rsid w:val="00683E4B"/>
    <w:rsid w:val="00693388"/>
    <w:rsid w:val="00693B5D"/>
    <w:rsid w:val="00696B01"/>
    <w:rsid w:val="006A078B"/>
    <w:rsid w:val="006A4676"/>
    <w:rsid w:val="006A4E10"/>
    <w:rsid w:val="006B2FEB"/>
    <w:rsid w:val="006B3503"/>
    <w:rsid w:val="006B56F0"/>
    <w:rsid w:val="006B6991"/>
    <w:rsid w:val="006B7D3E"/>
    <w:rsid w:val="006C029A"/>
    <w:rsid w:val="006C13F5"/>
    <w:rsid w:val="006C3149"/>
    <w:rsid w:val="006C4F2A"/>
    <w:rsid w:val="006C63A1"/>
    <w:rsid w:val="006D122D"/>
    <w:rsid w:val="006D1255"/>
    <w:rsid w:val="006D1CA8"/>
    <w:rsid w:val="006D2F29"/>
    <w:rsid w:val="006E0C0F"/>
    <w:rsid w:val="006E2858"/>
    <w:rsid w:val="006E342A"/>
    <w:rsid w:val="006F0468"/>
    <w:rsid w:val="006F176C"/>
    <w:rsid w:val="006F2069"/>
    <w:rsid w:val="006F72FD"/>
    <w:rsid w:val="00701D84"/>
    <w:rsid w:val="00703D74"/>
    <w:rsid w:val="00704249"/>
    <w:rsid w:val="00706BCE"/>
    <w:rsid w:val="007220A7"/>
    <w:rsid w:val="0072541C"/>
    <w:rsid w:val="00733D52"/>
    <w:rsid w:val="00734689"/>
    <w:rsid w:val="00734E69"/>
    <w:rsid w:val="0073666B"/>
    <w:rsid w:val="00740CEE"/>
    <w:rsid w:val="00747132"/>
    <w:rsid w:val="0075081B"/>
    <w:rsid w:val="00752702"/>
    <w:rsid w:val="007534DD"/>
    <w:rsid w:val="0075402C"/>
    <w:rsid w:val="007547BC"/>
    <w:rsid w:val="00761632"/>
    <w:rsid w:val="00763930"/>
    <w:rsid w:val="00763D82"/>
    <w:rsid w:val="00775A60"/>
    <w:rsid w:val="00780F09"/>
    <w:rsid w:val="0078304B"/>
    <w:rsid w:val="007831FC"/>
    <w:rsid w:val="00784781"/>
    <w:rsid w:val="00785657"/>
    <w:rsid w:val="00786F1B"/>
    <w:rsid w:val="00792226"/>
    <w:rsid w:val="00797774"/>
    <w:rsid w:val="007A0DD2"/>
    <w:rsid w:val="007B2228"/>
    <w:rsid w:val="007B286F"/>
    <w:rsid w:val="007B3358"/>
    <w:rsid w:val="007B6AB0"/>
    <w:rsid w:val="007C2CBA"/>
    <w:rsid w:val="007C7D7A"/>
    <w:rsid w:val="007D2982"/>
    <w:rsid w:val="007D49D9"/>
    <w:rsid w:val="007D6650"/>
    <w:rsid w:val="007D689A"/>
    <w:rsid w:val="007E1FAD"/>
    <w:rsid w:val="007E29A5"/>
    <w:rsid w:val="007E5D79"/>
    <w:rsid w:val="007E7FF0"/>
    <w:rsid w:val="007F07C8"/>
    <w:rsid w:val="007F682D"/>
    <w:rsid w:val="007F791C"/>
    <w:rsid w:val="007F7944"/>
    <w:rsid w:val="00804742"/>
    <w:rsid w:val="008068DA"/>
    <w:rsid w:val="00807DE7"/>
    <w:rsid w:val="00810658"/>
    <w:rsid w:val="00812CD4"/>
    <w:rsid w:val="00813C2A"/>
    <w:rsid w:val="008178FB"/>
    <w:rsid w:val="0082135C"/>
    <w:rsid w:val="0082564A"/>
    <w:rsid w:val="00832BFD"/>
    <w:rsid w:val="008424DB"/>
    <w:rsid w:val="008447A9"/>
    <w:rsid w:val="0085599C"/>
    <w:rsid w:val="008622FC"/>
    <w:rsid w:val="00863476"/>
    <w:rsid w:val="0086582E"/>
    <w:rsid w:val="00867E5E"/>
    <w:rsid w:val="0087792D"/>
    <w:rsid w:val="00884C80"/>
    <w:rsid w:val="00892C67"/>
    <w:rsid w:val="00892D84"/>
    <w:rsid w:val="00893169"/>
    <w:rsid w:val="008966E4"/>
    <w:rsid w:val="00897BAA"/>
    <w:rsid w:val="008A0852"/>
    <w:rsid w:val="008A2C91"/>
    <w:rsid w:val="008B6CAD"/>
    <w:rsid w:val="008B77BC"/>
    <w:rsid w:val="008B7EA4"/>
    <w:rsid w:val="008D1688"/>
    <w:rsid w:val="008D5DA8"/>
    <w:rsid w:val="008D62C3"/>
    <w:rsid w:val="008E02D4"/>
    <w:rsid w:val="008E1CFB"/>
    <w:rsid w:val="008E2B37"/>
    <w:rsid w:val="008E47A7"/>
    <w:rsid w:val="008E71FE"/>
    <w:rsid w:val="008F143B"/>
    <w:rsid w:val="008F4100"/>
    <w:rsid w:val="00912B74"/>
    <w:rsid w:val="00913C94"/>
    <w:rsid w:val="009175DC"/>
    <w:rsid w:val="00920A9C"/>
    <w:rsid w:val="009213CD"/>
    <w:rsid w:val="0092466A"/>
    <w:rsid w:val="0092505F"/>
    <w:rsid w:val="009315C8"/>
    <w:rsid w:val="009319C4"/>
    <w:rsid w:val="00932DF6"/>
    <w:rsid w:val="00936432"/>
    <w:rsid w:val="00936CAC"/>
    <w:rsid w:val="009403F9"/>
    <w:rsid w:val="00940747"/>
    <w:rsid w:val="00952732"/>
    <w:rsid w:val="009550D5"/>
    <w:rsid w:val="0095724A"/>
    <w:rsid w:val="009608B7"/>
    <w:rsid w:val="0096201B"/>
    <w:rsid w:val="00962CEE"/>
    <w:rsid w:val="00971A68"/>
    <w:rsid w:val="0097320A"/>
    <w:rsid w:val="009755DE"/>
    <w:rsid w:val="009760C4"/>
    <w:rsid w:val="0098337D"/>
    <w:rsid w:val="009840D2"/>
    <w:rsid w:val="0098502F"/>
    <w:rsid w:val="009860D9"/>
    <w:rsid w:val="00995143"/>
    <w:rsid w:val="00996708"/>
    <w:rsid w:val="009A3007"/>
    <w:rsid w:val="009A30C8"/>
    <w:rsid w:val="009A478D"/>
    <w:rsid w:val="009A59F5"/>
    <w:rsid w:val="009B13BE"/>
    <w:rsid w:val="009B153E"/>
    <w:rsid w:val="009B4AD6"/>
    <w:rsid w:val="009B5BD4"/>
    <w:rsid w:val="009B64F0"/>
    <w:rsid w:val="009C1982"/>
    <w:rsid w:val="009C35ED"/>
    <w:rsid w:val="009E3B7C"/>
    <w:rsid w:val="009E418F"/>
    <w:rsid w:val="009E7390"/>
    <w:rsid w:val="009F2BFD"/>
    <w:rsid w:val="009F7BC4"/>
    <w:rsid w:val="009F7F2A"/>
    <w:rsid w:val="00A120C8"/>
    <w:rsid w:val="00A24095"/>
    <w:rsid w:val="00A24492"/>
    <w:rsid w:val="00A27FE7"/>
    <w:rsid w:val="00A3037C"/>
    <w:rsid w:val="00A309EE"/>
    <w:rsid w:val="00A3377A"/>
    <w:rsid w:val="00A349BB"/>
    <w:rsid w:val="00A35984"/>
    <w:rsid w:val="00A40C28"/>
    <w:rsid w:val="00A41035"/>
    <w:rsid w:val="00A419C4"/>
    <w:rsid w:val="00A419C8"/>
    <w:rsid w:val="00A42BEE"/>
    <w:rsid w:val="00A44A80"/>
    <w:rsid w:val="00A645B6"/>
    <w:rsid w:val="00A65C67"/>
    <w:rsid w:val="00A664BF"/>
    <w:rsid w:val="00A70C89"/>
    <w:rsid w:val="00A732FC"/>
    <w:rsid w:val="00A74108"/>
    <w:rsid w:val="00A770FC"/>
    <w:rsid w:val="00A822DB"/>
    <w:rsid w:val="00A90A7A"/>
    <w:rsid w:val="00A90D4B"/>
    <w:rsid w:val="00A916CF"/>
    <w:rsid w:val="00A95889"/>
    <w:rsid w:val="00A966DB"/>
    <w:rsid w:val="00AA360E"/>
    <w:rsid w:val="00AA44AE"/>
    <w:rsid w:val="00AB182B"/>
    <w:rsid w:val="00AB752F"/>
    <w:rsid w:val="00AC28CD"/>
    <w:rsid w:val="00AC2F04"/>
    <w:rsid w:val="00AD4D24"/>
    <w:rsid w:val="00AD5484"/>
    <w:rsid w:val="00AE1607"/>
    <w:rsid w:val="00AE3058"/>
    <w:rsid w:val="00AE4FCB"/>
    <w:rsid w:val="00AE7102"/>
    <w:rsid w:val="00AF085E"/>
    <w:rsid w:val="00AF1254"/>
    <w:rsid w:val="00B02FC6"/>
    <w:rsid w:val="00B107A9"/>
    <w:rsid w:val="00B13C73"/>
    <w:rsid w:val="00B14BD5"/>
    <w:rsid w:val="00B26B75"/>
    <w:rsid w:val="00B34006"/>
    <w:rsid w:val="00B400C1"/>
    <w:rsid w:val="00B4157B"/>
    <w:rsid w:val="00B45F3E"/>
    <w:rsid w:val="00B47C17"/>
    <w:rsid w:val="00B5166D"/>
    <w:rsid w:val="00B53856"/>
    <w:rsid w:val="00B60A59"/>
    <w:rsid w:val="00B60B19"/>
    <w:rsid w:val="00B6272D"/>
    <w:rsid w:val="00B62CA2"/>
    <w:rsid w:val="00B75F1E"/>
    <w:rsid w:val="00B77500"/>
    <w:rsid w:val="00B83485"/>
    <w:rsid w:val="00B839F1"/>
    <w:rsid w:val="00B95B76"/>
    <w:rsid w:val="00B96E01"/>
    <w:rsid w:val="00B97CB8"/>
    <w:rsid w:val="00BA0141"/>
    <w:rsid w:val="00BA1C67"/>
    <w:rsid w:val="00BA1D33"/>
    <w:rsid w:val="00BA39F1"/>
    <w:rsid w:val="00BA6AFD"/>
    <w:rsid w:val="00BB0DA3"/>
    <w:rsid w:val="00BB1CD6"/>
    <w:rsid w:val="00BB3377"/>
    <w:rsid w:val="00BB6F2F"/>
    <w:rsid w:val="00BC1CF8"/>
    <w:rsid w:val="00BC66C4"/>
    <w:rsid w:val="00BD00BC"/>
    <w:rsid w:val="00BD0AA6"/>
    <w:rsid w:val="00BD73B5"/>
    <w:rsid w:val="00BE0D46"/>
    <w:rsid w:val="00BE2736"/>
    <w:rsid w:val="00BE4046"/>
    <w:rsid w:val="00BE67BE"/>
    <w:rsid w:val="00BF3557"/>
    <w:rsid w:val="00BF3EF4"/>
    <w:rsid w:val="00BF5425"/>
    <w:rsid w:val="00BF6539"/>
    <w:rsid w:val="00BF756A"/>
    <w:rsid w:val="00C02AA1"/>
    <w:rsid w:val="00C03144"/>
    <w:rsid w:val="00C0561A"/>
    <w:rsid w:val="00C05674"/>
    <w:rsid w:val="00C059F9"/>
    <w:rsid w:val="00C11427"/>
    <w:rsid w:val="00C11E96"/>
    <w:rsid w:val="00C140B9"/>
    <w:rsid w:val="00C17559"/>
    <w:rsid w:val="00C215A7"/>
    <w:rsid w:val="00C22804"/>
    <w:rsid w:val="00C24D8A"/>
    <w:rsid w:val="00C26342"/>
    <w:rsid w:val="00C26FF0"/>
    <w:rsid w:val="00C32C28"/>
    <w:rsid w:val="00C34ED6"/>
    <w:rsid w:val="00C37617"/>
    <w:rsid w:val="00C40449"/>
    <w:rsid w:val="00C444F8"/>
    <w:rsid w:val="00C52870"/>
    <w:rsid w:val="00C52F9A"/>
    <w:rsid w:val="00C53208"/>
    <w:rsid w:val="00C56766"/>
    <w:rsid w:val="00C56A3A"/>
    <w:rsid w:val="00C56F37"/>
    <w:rsid w:val="00C5730A"/>
    <w:rsid w:val="00C57843"/>
    <w:rsid w:val="00C57CF8"/>
    <w:rsid w:val="00C608B1"/>
    <w:rsid w:val="00C611AB"/>
    <w:rsid w:val="00C61D50"/>
    <w:rsid w:val="00C67BBC"/>
    <w:rsid w:val="00C7106B"/>
    <w:rsid w:val="00C73AC9"/>
    <w:rsid w:val="00C74C1C"/>
    <w:rsid w:val="00C769A2"/>
    <w:rsid w:val="00C77D42"/>
    <w:rsid w:val="00C809A4"/>
    <w:rsid w:val="00C927E0"/>
    <w:rsid w:val="00C968BE"/>
    <w:rsid w:val="00CA4F54"/>
    <w:rsid w:val="00CA67C9"/>
    <w:rsid w:val="00CB142B"/>
    <w:rsid w:val="00CB1727"/>
    <w:rsid w:val="00CB1C22"/>
    <w:rsid w:val="00CB6412"/>
    <w:rsid w:val="00CC1D54"/>
    <w:rsid w:val="00CC26A4"/>
    <w:rsid w:val="00CC6AD9"/>
    <w:rsid w:val="00CD0F53"/>
    <w:rsid w:val="00CD3969"/>
    <w:rsid w:val="00CD6966"/>
    <w:rsid w:val="00CE5494"/>
    <w:rsid w:val="00CE68DD"/>
    <w:rsid w:val="00CF0353"/>
    <w:rsid w:val="00CF408A"/>
    <w:rsid w:val="00CF5ADD"/>
    <w:rsid w:val="00D01DA1"/>
    <w:rsid w:val="00D0262A"/>
    <w:rsid w:val="00D05AAE"/>
    <w:rsid w:val="00D07A6A"/>
    <w:rsid w:val="00D10F54"/>
    <w:rsid w:val="00D114A5"/>
    <w:rsid w:val="00D147BB"/>
    <w:rsid w:val="00D20D81"/>
    <w:rsid w:val="00D21B9B"/>
    <w:rsid w:val="00D22069"/>
    <w:rsid w:val="00D27FA2"/>
    <w:rsid w:val="00D34E0C"/>
    <w:rsid w:val="00D3553C"/>
    <w:rsid w:val="00D36A0B"/>
    <w:rsid w:val="00D37391"/>
    <w:rsid w:val="00D375BA"/>
    <w:rsid w:val="00D51D5D"/>
    <w:rsid w:val="00D555CB"/>
    <w:rsid w:val="00D56EE3"/>
    <w:rsid w:val="00D64EB3"/>
    <w:rsid w:val="00D67C98"/>
    <w:rsid w:val="00D732A8"/>
    <w:rsid w:val="00D73C79"/>
    <w:rsid w:val="00D7641F"/>
    <w:rsid w:val="00D764F3"/>
    <w:rsid w:val="00D76DA3"/>
    <w:rsid w:val="00D812E6"/>
    <w:rsid w:val="00D823D5"/>
    <w:rsid w:val="00D82765"/>
    <w:rsid w:val="00D827FF"/>
    <w:rsid w:val="00D858F5"/>
    <w:rsid w:val="00D901B9"/>
    <w:rsid w:val="00D96111"/>
    <w:rsid w:val="00DA4342"/>
    <w:rsid w:val="00DB3261"/>
    <w:rsid w:val="00DB4132"/>
    <w:rsid w:val="00DB5296"/>
    <w:rsid w:val="00DB5AE1"/>
    <w:rsid w:val="00DC2632"/>
    <w:rsid w:val="00DD2186"/>
    <w:rsid w:val="00DD3450"/>
    <w:rsid w:val="00DD7F91"/>
    <w:rsid w:val="00DE419C"/>
    <w:rsid w:val="00DE56F0"/>
    <w:rsid w:val="00DE7FDD"/>
    <w:rsid w:val="00DF3314"/>
    <w:rsid w:val="00DF44F4"/>
    <w:rsid w:val="00E02CBE"/>
    <w:rsid w:val="00E0417E"/>
    <w:rsid w:val="00E07106"/>
    <w:rsid w:val="00E1649B"/>
    <w:rsid w:val="00E2105B"/>
    <w:rsid w:val="00E2185B"/>
    <w:rsid w:val="00E21892"/>
    <w:rsid w:val="00E23ACC"/>
    <w:rsid w:val="00E3009F"/>
    <w:rsid w:val="00E31008"/>
    <w:rsid w:val="00E33ABE"/>
    <w:rsid w:val="00E35826"/>
    <w:rsid w:val="00E45B40"/>
    <w:rsid w:val="00E461B8"/>
    <w:rsid w:val="00E506A8"/>
    <w:rsid w:val="00E53FE6"/>
    <w:rsid w:val="00E56388"/>
    <w:rsid w:val="00E63D1B"/>
    <w:rsid w:val="00E64CAF"/>
    <w:rsid w:val="00E67206"/>
    <w:rsid w:val="00E71140"/>
    <w:rsid w:val="00E71383"/>
    <w:rsid w:val="00E7737E"/>
    <w:rsid w:val="00E773A9"/>
    <w:rsid w:val="00E82CC8"/>
    <w:rsid w:val="00E83597"/>
    <w:rsid w:val="00E86BFF"/>
    <w:rsid w:val="00E9374A"/>
    <w:rsid w:val="00E96081"/>
    <w:rsid w:val="00E96377"/>
    <w:rsid w:val="00EA0C6D"/>
    <w:rsid w:val="00EA3500"/>
    <w:rsid w:val="00EA37BC"/>
    <w:rsid w:val="00EA449C"/>
    <w:rsid w:val="00EA691D"/>
    <w:rsid w:val="00EA714D"/>
    <w:rsid w:val="00EA7ADD"/>
    <w:rsid w:val="00EB2D2C"/>
    <w:rsid w:val="00EB3271"/>
    <w:rsid w:val="00EB33A7"/>
    <w:rsid w:val="00EB3714"/>
    <w:rsid w:val="00EB4BA7"/>
    <w:rsid w:val="00EC31D7"/>
    <w:rsid w:val="00EC3832"/>
    <w:rsid w:val="00EC6399"/>
    <w:rsid w:val="00ED1877"/>
    <w:rsid w:val="00ED1FF8"/>
    <w:rsid w:val="00ED2363"/>
    <w:rsid w:val="00ED7B0E"/>
    <w:rsid w:val="00EE2478"/>
    <w:rsid w:val="00EE2724"/>
    <w:rsid w:val="00EF0FFC"/>
    <w:rsid w:val="00EF5627"/>
    <w:rsid w:val="00EF72B8"/>
    <w:rsid w:val="00F01035"/>
    <w:rsid w:val="00F047DA"/>
    <w:rsid w:val="00F04C46"/>
    <w:rsid w:val="00F106CE"/>
    <w:rsid w:val="00F11AA5"/>
    <w:rsid w:val="00F122F1"/>
    <w:rsid w:val="00F127A7"/>
    <w:rsid w:val="00F13C8A"/>
    <w:rsid w:val="00F161CF"/>
    <w:rsid w:val="00F24B8D"/>
    <w:rsid w:val="00F254AC"/>
    <w:rsid w:val="00F265CC"/>
    <w:rsid w:val="00F26A49"/>
    <w:rsid w:val="00F27CF5"/>
    <w:rsid w:val="00F30AF9"/>
    <w:rsid w:val="00F30C70"/>
    <w:rsid w:val="00F36039"/>
    <w:rsid w:val="00F418B6"/>
    <w:rsid w:val="00F41DCA"/>
    <w:rsid w:val="00F47A75"/>
    <w:rsid w:val="00F50285"/>
    <w:rsid w:val="00F52ACE"/>
    <w:rsid w:val="00F52DD2"/>
    <w:rsid w:val="00F53942"/>
    <w:rsid w:val="00F56C7E"/>
    <w:rsid w:val="00F67304"/>
    <w:rsid w:val="00F71BDE"/>
    <w:rsid w:val="00F7229E"/>
    <w:rsid w:val="00F74395"/>
    <w:rsid w:val="00F76D53"/>
    <w:rsid w:val="00F81DA5"/>
    <w:rsid w:val="00F847A8"/>
    <w:rsid w:val="00F8688B"/>
    <w:rsid w:val="00F9146E"/>
    <w:rsid w:val="00F955F3"/>
    <w:rsid w:val="00F9688B"/>
    <w:rsid w:val="00FA05B4"/>
    <w:rsid w:val="00FA17EA"/>
    <w:rsid w:val="00FA4596"/>
    <w:rsid w:val="00FA4F6D"/>
    <w:rsid w:val="00FA740F"/>
    <w:rsid w:val="00FA7D62"/>
    <w:rsid w:val="00FB2C5D"/>
    <w:rsid w:val="00FB2C83"/>
    <w:rsid w:val="00FB3E21"/>
    <w:rsid w:val="00FB6019"/>
    <w:rsid w:val="00FB74D0"/>
    <w:rsid w:val="00FB760F"/>
    <w:rsid w:val="00FC06DB"/>
    <w:rsid w:val="00FD32FB"/>
    <w:rsid w:val="00FD6C3F"/>
    <w:rsid w:val="00FE06D9"/>
    <w:rsid w:val="00FE378F"/>
    <w:rsid w:val="00FE3D4F"/>
    <w:rsid w:val="00FE4AF8"/>
    <w:rsid w:val="00FE5D51"/>
    <w:rsid w:val="00FE5E47"/>
    <w:rsid w:val="00FE64A0"/>
    <w:rsid w:val="00FE7860"/>
    <w:rsid w:val="00FF153E"/>
    <w:rsid w:val="00FF20B2"/>
    <w:rsid w:val="00FF28C7"/>
    <w:rsid w:val="00FF5F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ind w:left="720"/>
      <w:contextualSpacing/>
    </w:p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link w:val="CaptionChar"/>
    <w:unhideWhenUsed/>
    <w:qFormat/>
    <w:rsid w:val="0002461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A65C67"/>
    <w:pPr>
      <w:spacing w:before="120" w:after="0"/>
      <w:ind w:left="240"/>
    </w:pPr>
    <w:rPr>
      <w:b/>
      <w:bCs/>
      <w:sz w:val="22"/>
      <w:szCs w:val="22"/>
    </w:rPr>
  </w:style>
  <w:style w:type="paragraph" w:styleId="TOC1">
    <w:name w:val="toc 1"/>
    <w:basedOn w:val="Normal"/>
    <w:next w:val="Normal"/>
    <w:autoRedefine/>
    <w:uiPriority w:val="39"/>
    <w:semiHidden/>
    <w:unhideWhenUsed/>
    <w:rsid w:val="00A65C67"/>
    <w:pPr>
      <w:spacing w:before="120" w:after="0"/>
    </w:pPr>
    <w:rPr>
      <w:b/>
      <w:bCs/>
      <w:i/>
      <w:iCs/>
    </w:rPr>
  </w:style>
  <w:style w:type="paragraph" w:styleId="TOC3">
    <w:name w:val="toc 3"/>
    <w:basedOn w:val="Normal"/>
    <w:next w:val="Normal"/>
    <w:autoRedefine/>
    <w:uiPriority w:val="39"/>
    <w:semiHidden/>
    <w:unhideWhenUsed/>
    <w:rsid w:val="00A65C67"/>
    <w:pPr>
      <w:spacing w:after="0"/>
      <w:ind w:left="480"/>
    </w:pPr>
    <w:rPr>
      <w:sz w:val="20"/>
      <w:szCs w:val="20"/>
    </w:rPr>
  </w:style>
  <w:style w:type="paragraph" w:styleId="TOC4">
    <w:name w:val="toc 4"/>
    <w:basedOn w:val="Normal"/>
    <w:next w:val="Normal"/>
    <w:autoRedefine/>
    <w:uiPriority w:val="39"/>
    <w:semiHidden/>
    <w:unhideWhenUsed/>
    <w:rsid w:val="00A65C67"/>
    <w:pPr>
      <w:spacing w:after="0"/>
      <w:ind w:left="720"/>
    </w:pPr>
    <w:rPr>
      <w:sz w:val="20"/>
      <w:szCs w:val="20"/>
    </w:rPr>
  </w:style>
  <w:style w:type="paragraph" w:styleId="TOC5">
    <w:name w:val="toc 5"/>
    <w:basedOn w:val="Normal"/>
    <w:next w:val="Normal"/>
    <w:autoRedefine/>
    <w:uiPriority w:val="39"/>
    <w:semiHidden/>
    <w:unhideWhenUsed/>
    <w:rsid w:val="00A65C67"/>
    <w:pPr>
      <w:spacing w:after="0"/>
      <w:ind w:left="960"/>
    </w:pPr>
    <w:rPr>
      <w:sz w:val="20"/>
      <w:szCs w:val="20"/>
    </w:rPr>
  </w:style>
  <w:style w:type="paragraph" w:styleId="TOC6">
    <w:name w:val="toc 6"/>
    <w:basedOn w:val="Normal"/>
    <w:next w:val="Normal"/>
    <w:autoRedefine/>
    <w:uiPriority w:val="39"/>
    <w:semiHidden/>
    <w:unhideWhenUsed/>
    <w:rsid w:val="00A65C67"/>
    <w:pPr>
      <w:spacing w:after="0"/>
      <w:ind w:left="1200"/>
    </w:pPr>
    <w:rPr>
      <w:sz w:val="20"/>
      <w:szCs w:val="20"/>
    </w:rPr>
  </w:style>
  <w:style w:type="paragraph" w:styleId="TOC7">
    <w:name w:val="toc 7"/>
    <w:basedOn w:val="Normal"/>
    <w:next w:val="Normal"/>
    <w:autoRedefine/>
    <w:uiPriority w:val="39"/>
    <w:semiHidden/>
    <w:unhideWhenUsed/>
    <w:rsid w:val="00A65C67"/>
    <w:pPr>
      <w:spacing w:after="0"/>
      <w:ind w:left="1440"/>
    </w:pPr>
    <w:rPr>
      <w:sz w:val="20"/>
      <w:szCs w:val="20"/>
    </w:rPr>
  </w:style>
  <w:style w:type="paragraph" w:styleId="TOC8">
    <w:name w:val="toc 8"/>
    <w:basedOn w:val="Normal"/>
    <w:next w:val="Normal"/>
    <w:autoRedefine/>
    <w:uiPriority w:val="39"/>
    <w:semiHidden/>
    <w:unhideWhenUsed/>
    <w:rsid w:val="00A65C67"/>
    <w:pPr>
      <w:spacing w:after="0"/>
      <w:ind w:left="1680"/>
    </w:pPr>
    <w:rPr>
      <w:sz w:val="20"/>
      <w:szCs w:val="20"/>
    </w:rPr>
  </w:style>
  <w:style w:type="paragraph" w:styleId="TOC9">
    <w:name w:val="toc 9"/>
    <w:basedOn w:val="Normal"/>
    <w:next w:val="Normal"/>
    <w:autoRedefine/>
    <w:uiPriority w:val="39"/>
    <w:semiHidden/>
    <w:unhideWhenUsed/>
    <w:rsid w:val="00A65C67"/>
    <w:pPr>
      <w:spacing w:after="0"/>
      <w:ind w:left="1920"/>
    </w:pPr>
    <w:rPr>
      <w:sz w:val="20"/>
      <w:szCs w:val="20"/>
    </w:rPr>
  </w:style>
  <w:style w:type="paragraph" w:customStyle="1" w:styleId="p1">
    <w:name w:val="p1"/>
    <w:basedOn w:val="Normal"/>
    <w:rsid w:val="00525D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25D92"/>
  </w:style>
  <w:style w:type="paragraph" w:styleId="BodyText">
    <w:name w:val="Body Text"/>
    <w:basedOn w:val="Normal"/>
    <w:link w:val="BodyTextChar"/>
    <w:qFormat/>
    <w:rsid w:val="00C53208"/>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C53208"/>
    <w:rPr>
      <w:rFonts w:eastAsiaTheme="minorEastAsia"/>
      <w:kern w:val="0"/>
      <w:lang w:eastAsia="zh-CN"/>
      <w14:ligatures w14:val="none"/>
    </w:rPr>
  </w:style>
  <w:style w:type="paragraph" w:customStyle="1" w:styleId="FirstParagraph">
    <w:name w:val="First Paragraph"/>
    <w:basedOn w:val="BodyText"/>
    <w:next w:val="BodyText"/>
    <w:qFormat/>
    <w:rsid w:val="00C53208"/>
  </w:style>
  <w:style w:type="paragraph" w:styleId="BlockText">
    <w:name w:val="Block Text"/>
    <w:basedOn w:val="BodyText"/>
    <w:next w:val="BodyText"/>
    <w:uiPriority w:val="9"/>
    <w:unhideWhenUsed/>
    <w:qFormat/>
    <w:rsid w:val="00C53208"/>
    <w:pPr>
      <w:spacing w:before="100" w:after="100"/>
      <w:ind w:left="480" w:right="480"/>
    </w:pPr>
  </w:style>
  <w:style w:type="paragraph" w:customStyle="1" w:styleId="Compact">
    <w:name w:val="Compact"/>
    <w:basedOn w:val="BodyText"/>
    <w:qFormat/>
    <w:rsid w:val="005F679E"/>
    <w:pPr>
      <w:spacing w:before="36" w:after="36"/>
    </w:pPr>
  </w:style>
  <w:style w:type="character" w:customStyle="1" w:styleId="CaptionChar">
    <w:name w:val="Caption Char"/>
    <w:basedOn w:val="DefaultParagraphFont"/>
    <w:link w:val="Caption"/>
    <w:rsid w:val="00115233"/>
    <w:rPr>
      <w:i/>
      <w:iCs/>
      <w:color w:val="0E2841" w:themeColor="text2"/>
      <w:sz w:val="18"/>
      <w:szCs w:val="18"/>
    </w:rPr>
  </w:style>
  <w:style w:type="paragraph" w:customStyle="1" w:styleId="p2">
    <w:name w:val="p2"/>
    <w:basedOn w:val="Normal"/>
    <w:rsid w:val="006429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9761">
      <w:bodyDiv w:val="1"/>
      <w:marLeft w:val="0"/>
      <w:marRight w:val="0"/>
      <w:marTop w:val="0"/>
      <w:marBottom w:val="0"/>
      <w:divBdr>
        <w:top w:val="none" w:sz="0" w:space="0" w:color="auto"/>
        <w:left w:val="none" w:sz="0" w:space="0" w:color="auto"/>
        <w:bottom w:val="none" w:sz="0" w:space="0" w:color="auto"/>
        <w:right w:val="none" w:sz="0" w:space="0" w:color="auto"/>
      </w:divBdr>
    </w:div>
    <w:div w:id="187454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b:Tag>
    <b:SourceType>Book</b:SourceType>
    <b:Guid>{FD2F1334-D2E0-574F-9C26-E91A2A07BF5D}</b:Guid>
    <b:Author>
      <b:Author>
        <b:NameList>
          <b:Person>
            <b:Last>Morris</b:Last>
            <b:First>T.</b:First>
            <b:Middle>P., White, I. R., &amp; Crowther, M. J. (2018)</b:Middle>
          </b:Person>
        </b:NameList>
      </b:Author>
    </b:Author>
    <b:RefOrder>1</b:RefOrder>
  </b:Source>
</b:Sources>
</file>

<file path=customXml/itemProps1.xml><?xml version="1.0" encoding="utf-8"?>
<ds:datastoreItem xmlns:ds="http://schemas.openxmlformats.org/officeDocument/2006/customXml" ds:itemID="{38816A29-A487-F945-968D-CA8924AC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1838</Words>
  <Characters>10481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14</cp:revision>
  <dcterms:created xsi:type="dcterms:W3CDTF">2026-05-10T01:15:00Z</dcterms:created>
  <dcterms:modified xsi:type="dcterms:W3CDTF">2026-05-10T01:38:00Z</dcterms:modified>
</cp:coreProperties>
</file>