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4598F85E" w:rsidR="00A65C67" w:rsidRDefault="00A65C67" w:rsidP="00431F47">
      <w:pPr>
        <w:pStyle w:val="Heading2"/>
        <w:jc w:val="center"/>
        <w:rPr>
          <w:b/>
          <w:bCs/>
          <w:color w:val="000000" w:themeColor="text1"/>
        </w:rPr>
      </w:pPr>
      <w:r w:rsidRPr="00017A7C">
        <w:rPr>
          <w:b/>
          <w:bCs/>
          <w:color w:val="000000" w:themeColor="text1"/>
        </w:rPr>
        <w:t>Project</w:t>
      </w:r>
      <w:r w:rsidR="00E65051">
        <w:rPr>
          <w:b/>
          <w:bCs/>
          <w:color w:val="000000" w:themeColor="text1"/>
        </w:rPr>
        <w:t>1</w:t>
      </w:r>
      <w:r w:rsidRPr="00017A7C">
        <w:rPr>
          <w:b/>
          <w:bCs/>
          <w:color w:val="000000" w:themeColor="text1"/>
        </w:rPr>
        <w:t>:</w:t>
      </w:r>
    </w:p>
    <w:p w14:paraId="5B41E31C" w14:textId="77777777" w:rsidR="00431F47" w:rsidRPr="00431F47" w:rsidRDefault="00431F47" w:rsidP="00431F47"/>
    <w:p w14:paraId="4AA0B70D" w14:textId="03A3D938" w:rsidR="00431F47" w:rsidRDefault="00431F47" w:rsidP="00431F47">
      <w:pPr>
        <w:jc w:val="center"/>
        <w:rPr>
          <w:rFonts w:asciiTheme="majorHAnsi" w:eastAsiaTheme="majorEastAsia" w:hAnsiTheme="majorHAnsi" w:cstheme="majorBidi"/>
          <w:b/>
          <w:bCs/>
          <w:color w:val="000000" w:themeColor="text1"/>
          <w:sz w:val="32"/>
          <w:szCs w:val="32"/>
        </w:rPr>
      </w:pPr>
      <w:r w:rsidRPr="00431F47">
        <w:rPr>
          <w:rFonts w:asciiTheme="majorHAnsi" w:eastAsiaTheme="majorEastAsia" w:hAnsiTheme="majorHAnsi" w:cstheme="majorBidi"/>
          <w:b/>
          <w:bCs/>
          <w:color w:val="000000" w:themeColor="text1"/>
          <w:sz w:val="32"/>
          <w:szCs w:val="32"/>
        </w:rPr>
        <w:t>Evaluating Two-Year HAART Treatment Response Among Hard Drug Users and Non-Users</w:t>
      </w:r>
    </w:p>
    <w:p w14:paraId="23F39240" w14:textId="77777777" w:rsidR="00431F47" w:rsidRPr="00431F47" w:rsidRDefault="00431F47" w:rsidP="00431F47">
      <w:pPr>
        <w:jc w:val="center"/>
      </w:pPr>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6DDC9CD1" w:rsidR="00A65C67" w:rsidRPr="00A65C67" w:rsidRDefault="005E10C3" w:rsidP="00A65C67">
      <w:pPr>
        <w:contextualSpacing/>
        <w:jc w:val="center"/>
      </w:pPr>
      <w:r>
        <w:t>3</w:t>
      </w:r>
      <w:r w:rsidR="00A65C67">
        <w:t>/</w:t>
      </w:r>
      <w:r>
        <w:t>2</w:t>
      </w:r>
      <w:r w:rsidR="00A65C67">
        <w:t>/26</w:t>
      </w:r>
    </w:p>
    <w:p w14:paraId="7F989DC0" w14:textId="77777777" w:rsidR="00A65C67" w:rsidRDefault="00A65C67" w:rsidP="00656BA2">
      <w:pPr>
        <w:pStyle w:val="Heading2"/>
      </w:pPr>
    </w:p>
    <w:sdt>
      <w:sdtPr>
        <w:rPr>
          <w:rFonts w:asciiTheme="minorHAnsi" w:eastAsiaTheme="minorHAnsi" w:hAnsiTheme="minorHAnsi" w:cstheme="minorBidi"/>
          <w:b w:val="0"/>
          <w:bCs w:val="0"/>
          <w:color w:val="auto"/>
          <w:kern w:val="2"/>
          <w:sz w:val="24"/>
          <w:szCs w:val="24"/>
          <w14:ligatures w14:val="standardContextual"/>
        </w:rPr>
        <w:id w:val="-2104023350"/>
        <w:docPartObj>
          <w:docPartGallery w:val="Table of Contents"/>
          <w:docPartUnique/>
        </w:docPartObj>
      </w:sdtPr>
      <w:sdtEndPr>
        <w:rPr>
          <w:rFonts w:ascii="Times New Roman" w:eastAsia="Times New Roman" w:hAnsi="Times New Roman" w:cs="Times New Roman"/>
          <w:noProof/>
          <w:kern w:val="0"/>
          <w14:ligatures w14:val="none"/>
        </w:rPr>
      </w:sdtEndPr>
      <w:sdtContent>
        <w:p w14:paraId="50AF5B76" w14:textId="3F83E097" w:rsidR="00A65C67" w:rsidRDefault="00A65C67" w:rsidP="00A65C67">
          <w:pPr>
            <w:pStyle w:val="TOCHeading"/>
            <w:spacing w:line="240" w:lineRule="auto"/>
            <w:contextualSpacing/>
          </w:pPr>
          <w:r>
            <w:t>Table of Contents</w:t>
          </w:r>
        </w:p>
        <w:p w14:paraId="3795F9D0" w14:textId="250CB2BF" w:rsidR="00A65C67" w:rsidRDefault="00A65C67" w:rsidP="00A65C67">
          <w:pPr>
            <w:pStyle w:val="TOC2"/>
            <w:tabs>
              <w:tab w:val="right" w:leader="dot" w:pos="9350"/>
            </w:tabs>
            <w:contextualSpacing/>
            <w:rPr>
              <w:rFonts w:eastAsiaTheme="minorEastAsia"/>
              <w:b w:val="0"/>
              <w:bCs w:val="0"/>
              <w:noProof/>
              <w:sz w:val="24"/>
              <w:szCs w:val="24"/>
            </w:rPr>
          </w:pPr>
          <w:r>
            <w:rPr>
              <w:b w:val="0"/>
              <w:bCs w:val="0"/>
            </w:rPr>
            <w:fldChar w:fldCharType="begin"/>
          </w:r>
          <w:r>
            <w:instrText xml:space="preserve"> TOC \o "1-3" \h \z \u </w:instrText>
          </w:r>
          <w:r>
            <w:rPr>
              <w:b w:val="0"/>
              <w:bCs w:val="0"/>
            </w:rPr>
            <w:fldChar w:fldCharType="separate"/>
          </w:r>
          <w:hyperlink w:anchor="_Toc221022973" w:history="1">
            <w:r w:rsidRPr="00CC0180">
              <w:rPr>
                <w:rStyle w:val="Hyperlink"/>
                <w:noProof/>
              </w:rPr>
              <w:t>Introduction</w:t>
            </w:r>
            <w:r>
              <w:rPr>
                <w:noProof/>
                <w:webHidden/>
              </w:rPr>
              <w:tab/>
            </w:r>
            <w:r>
              <w:rPr>
                <w:noProof/>
                <w:webHidden/>
              </w:rPr>
              <w:fldChar w:fldCharType="begin"/>
            </w:r>
            <w:r>
              <w:rPr>
                <w:noProof/>
                <w:webHidden/>
              </w:rPr>
              <w:instrText xml:space="preserve"> PAGEREF _Toc221022973 \h </w:instrText>
            </w:r>
            <w:r>
              <w:rPr>
                <w:noProof/>
                <w:webHidden/>
              </w:rPr>
            </w:r>
            <w:r>
              <w:rPr>
                <w:noProof/>
                <w:webHidden/>
              </w:rPr>
              <w:fldChar w:fldCharType="separate"/>
            </w:r>
            <w:r w:rsidR="004C10FC">
              <w:rPr>
                <w:noProof/>
                <w:webHidden/>
              </w:rPr>
              <w:t>2</w:t>
            </w:r>
            <w:r>
              <w:rPr>
                <w:noProof/>
                <w:webHidden/>
              </w:rPr>
              <w:fldChar w:fldCharType="end"/>
            </w:r>
          </w:hyperlink>
        </w:p>
        <w:p w14:paraId="0F9D795B" w14:textId="64112A2A" w:rsidR="00A65C67" w:rsidRDefault="00A65C67" w:rsidP="00B83485">
          <w:pPr>
            <w:pStyle w:val="TOC2"/>
            <w:tabs>
              <w:tab w:val="right" w:leader="dot" w:pos="9350"/>
            </w:tabs>
            <w:spacing w:before="360"/>
            <w:ind w:left="245"/>
            <w:contextualSpacing/>
            <w:rPr>
              <w:rFonts w:eastAsiaTheme="minorEastAsia"/>
              <w:b w:val="0"/>
              <w:bCs w:val="0"/>
              <w:noProof/>
              <w:sz w:val="24"/>
              <w:szCs w:val="24"/>
            </w:rPr>
          </w:pPr>
          <w:hyperlink w:anchor="_Toc221022974" w:history="1">
            <w:r w:rsidRPr="00CC0180">
              <w:rPr>
                <w:rStyle w:val="Hyperlink"/>
                <w:noProof/>
              </w:rPr>
              <w:t>Met</w:t>
            </w:r>
            <w:r w:rsidRPr="00CC0180">
              <w:rPr>
                <w:rStyle w:val="Hyperlink"/>
                <w:noProof/>
              </w:rPr>
              <w:t>h</w:t>
            </w:r>
            <w:r w:rsidRPr="00CC0180">
              <w:rPr>
                <w:rStyle w:val="Hyperlink"/>
                <w:noProof/>
              </w:rPr>
              <w:t>ods</w:t>
            </w:r>
            <w:r>
              <w:rPr>
                <w:noProof/>
                <w:webHidden/>
              </w:rPr>
              <w:tab/>
            </w:r>
            <w:r>
              <w:rPr>
                <w:noProof/>
                <w:webHidden/>
              </w:rPr>
              <w:fldChar w:fldCharType="begin"/>
            </w:r>
            <w:r>
              <w:rPr>
                <w:noProof/>
                <w:webHidden/>
              </w:rPr>
              <w:instrText xml:space="preserve"> PAGEREF _Toc221022974 \h </w:instrText>
            </w:r>
            <w:r>
              <w:rPr>
                <w:noProof/>
                <w:webHidden/>
              </w:rPr>
            </w:r>
            <w:r>
              <w:rPr>
                <w:noProof/>
                <w:webHidden/>
              </w:rPr>
              <w:fldChar w:fldCharType="separate"/>
            </w:r>
            <w:r w:rsidR="004C10FC">
              <w:rPr>
                <w:noProof/>
                <w:webHidden/>
              </w:rPr>
              <w:t>2</w:t>
            </w:r>
            <w:r>
              <w:rPr>
                <w:noProof/>
                <w:webHidden/>
              </w:rPr>
              <w:fldChar w:fldCharType="end"/>
            </w:r>
          </w:hyperlink>
        </w:p>
        <w:p w14:paraId="274554E7" w14:textId="5FA251DA" w:rsidR="00A65C67" w:rsidRDefault="00A65C67" w:rsidP="00A65C67">
          <w:pPr>
            <w:pStyle w:val="TOC2"/>
            <w:tabs>
              <w:tab w:val="right" w:leader="dot" w:pos="9350"/>
            </w:tabs>
            <w:contextualSpacing/>
            <w:rPr>
              <w:rFonts w:eastAsiaTheme="minorEastAsia"/>
              <w:b w:val="0"/>
              <w:bCs w:val="0"/>
              <w:noProof/>
              <w:sz w:val="24"/>
              <w:szCs w:val="24"/>
            </w:rPr>
          </w:pPr>
          <w:hyperlink w:anchor="_Toc221022975" w:history="1">
            <w:r w:rsidRPr="00CC0180">
              <w:rPr>
                <w:rStyle w:val="Hyperlink"/>
                <w:noProof/>
              </w:rPr>
              <w:t>Results</w:t>
            </w:r>
            <w:r>
              <w:rPr>
                <w:noProof/>
                <w:webHidden/>
              </w:rPr>
              <w:tab/>
            </w:r>
            <w:r>
              <w:rPr>
                <w:noProof/>
                <w:webHidden/>
              </w:rPr>
              <w:fldChar w:fldCharType="begin"/>
            </w:r>
            <w:r>
              <w:rPr>
                <w:noProof/>
                <w:webHidden/>
              </w:rPr>
              <w:instrText xml:space="preserve"> PAGEREF _Toc221022975 \h </w:instrText>
            </w:r>
            <w:r>
              <w:rPr>
                <w:noProof/>
                <w:webHidden/>
              </w:rPr>
            </w:r>
            <w:r>
              <w:rPr>
                <w:noProof/>
                <w:webHidden/>
              </w:rPr>
              <w:fldChar w:fldCharType="separate"/>
            </w:r>
            <w:r w:rsidR="004C10FC">
              <w:rPr>
                <w:noProof/>
                <w:webHidden/>
              </w:rPr>
              <w:t>6</w:t>
            </w:r>
            <w:r>
              <w:rPr>
                <w:noProof/>
                <w:webHidden/>
              </w:rPr>
              <w:fldChar w:fldCharType="end"/>
            </w:r>
          </w:hyperlink>
        </w:p>
        <w:p w14:paraId="29D6E847" w14:textId="18A25440" w:rsidR="00A65C67" w:rsidRDefault="00A65C67" w:rsidP="00A65C67">
          <w:pPr>
            <w:pStyle w:val="TOC2"/>
            <w:tabs>
              <w:tab w:val="right" w:leader="dot" w:pos="9350"/>
            </w:tabs>
            <w:contextualSpacing/>
            <w:rPr>
              <w:rFonts w:eastAsiaTheme="minorEastAsia"/>
              <w:b w:val="0"/>
              <w:bCs w:val="0"/>
              <w:noProof/>
              <w:sz w:val="24"/>
              <w:szCs w:val="24"/>
            </w:rPr>
          </w:pPr>
          <w:hyperlink w:anchor="_Toc221022976" w:history="1">
            <w:r w:rsidRPr="00CC0180">
              <w:rPr>
                <w:rStyle w:val="Hyperlink"/>
                <w:noProof/>
              </w:rPr>
              <w:t>Discussion</w:t>
            </w:r>
            <w:r>
              <w:rPr>
                <w:noProof/>
                <w:webHidden/>
              </w:rPr>
              <w:tab/>
            </w:r>
            <w:r>
              <w:rPr>
                <w:noProof/>
                <w:webHidden/>
              </w:rPr>
              <w:fldChar w:fldCharType="begin"/>
            </w:r>
            <w:r>
              <w:rPr>
                <w:noProof/>
                <w:webHidden/>
              </w:rPr>
              <w:instrText xml:space="preserve"> PAGEREF _Toc221022976 \h </w:instrText>
            </w:r>
            <w:r>
              <w:rPr>
                <w:noProof/>
                <w:webHidden/>
              </w:rPr>
            </w:r>
            <w:r>
              <w:rPr>
                <w:noProof/>
                <w:webHidden/>
              </w:rPr>
              <w:fldChar w:fldCharType="separate"/>
            </w:r>
            <w:r w:rsidR="004C10FC">
              <w:rPr>
                <w:noProof/>
                <w:webHidden/>
              </w:rPr>
              <w:t>11</w:t>
            </w:r>
            <w:r>
              <w:rPr>
                <w:noProof/>
                <w:webHidden/>
              </w:rPr>
              <w:fldChar w:fldCharType="end"/>
            </w:r>
          </w:hyperlink>
        </w:p>
        <w:p w14:paraId="3499B4C6" w14:textId="20A399FB" w:rsidR="00A65C67" w:rsidRDefault="00A65C67" w:rsidP="00A65C67">
          <w:pPr>
            <w:pStyle w:val="TOC2"/>
            <w:tabs>
              <w:tab w:val="right" w:leader="dot" w:pos="9350"/>
            </w:tabs>
            <w:contextualSpacing/>
            <w:rPr>
              <w:rFonts w:eastAsiaTheme="minorEastAsia"/>
              <w:b w:val="0"/>
              <w:bCs w:val="0"/>
              <w:noProof/>
              <w:sz w:val="24"/>
              <w:szCs w:val="24"/>
            </w:rPr>
          </w:pPr>
          <w:hyperlink w:anchor="_Toc221022977" w:history="1">
            <w:r w:rsidRPr="00CC0180">
              <w:rPr>
                <w:rStyle w:val="Hyperlink"/>
                <w:noProof/>
              </w:rPr>
              <w:t>References</w:t>
            </w:r>
            <w:r>
              <w:rPr>
                <w:noProof/>
                <w:webHidden/>
              </w:rPr>
              <w:tab/>
            </w:r>
            <w:r>
              <w:rPr>
                <w:noProof/>
                <w:webHidden/>
              </w:rPr>
              <w:fldChar w:fldCharType="begin"/>
            </w:r>
            <w:r>
              <w:rPr>
                <w:noProof/>
                <w:webHidden/>
              </w:rPr>
              <w:instrText xml:space="preserve"> PAGEREF _Toc221022977 \h </w:instrText>
            </w:r>
            <w:r>
              <w:rPr>
                <w:noProof/>
                <w:webHidden/>
              </w:rPr>
            </w:r>
            <w:r>
              <w:rPr>
                <w:noProof/>
                <w:webHidden/>
              </w:rPr>
              <w:fldChar w:fldCharType="separate"/>
            </w:r>
            <w:r w:rsidR="004C10FC">
              <w:rPr>
                <w:noProof/>
                <w:webHidden/>
              </w:rPr>
              <w:t>14</w:t>
            </w:r>
            <w:r>
              <w:rPr>
                <w:noProof/>
                <w:webHidden/>
              </w:rPr>
              <w:fldChar w:fldCharType="end"/>
            </w:r>
          </w:hyperlink>
        </w:p>
        <w:p w14:paraId="07B8E6A0" w14:textId="05F43C34" w:rsidR="00A65C67" w:rsidRDefault="00A65C67" w:rsidP="00A65C67">
          <w:pPr>
            <w:pStyle w:val="TOC2"/>
            <w:tabs>
              <w:tab w:val="right" w:leader="dot" w:pos="9350"/>
            </w:tabs>
            <w:contextualSpacing/>
            <w:rPr>
              <w:rFonts w:eastAsiaTheme="minorEastAsia"/>
              <w:b w:val="0"/>
              <w:bCs w:val="0"/>
              <w:noProof/>
              <w:sz w:val="24"/>
              <w:szCs w:val="24"/>
            </w:rPr>
          </w:pPr>
          <w:hyperlink w:anchor="_Toc221022978" w:history="1">
            <w:r w:rsidRPr="00CC0180">
              <w:rPr>
                <w:rStyle w:val="Hyperlink"/>
                <w:noProof/>
              </w:rPr>
              <w:t>Reproducib</w:t>
            </w:r>
            <w:r w:rsidRPr="00CC0180">
              <w:rPr>
                <w:rStyle w:val="Hyperlink"/>
                <w:noProof/>
              </w:rPr>
              <w:t>i</w:t>
            </w:r>
            <w:r w:rsidRPr="00CC0180">
              <w:rPr>
                <w:rStyle w:val="Hyperlink"/>
                <w:noProof/>
              </w:rPr>
              <w:t>lity Statement</w:t>
            </w:r>
            <w:r>
              <w:rPr>
                <w:noProof/>
                <w:webHidden/>
              </w:rPr>
              <w:tab/>
            </w:r>
            <w:r>
              <w:rPr>
                <w:noProof/>
                <w:webHidden/>
              </w:rPr>
              <w:fldChar w:fldCharType="begin"/>
            </w:r>
            <w:r>
              <w:rPr>
                <w:noProof/>
                <w:webHidden/>
              </w:rPr>
              <w:instrText xml:space="preserve"> PAGEREF _Toc221022978 \h </w:instrText>
            </w:r>
            <w:r>
              <w:rPr>
                <w:noProof/>
                <w:webHidden/>
              </w:rPr>
            </w:r>
            <w:r>
              <w:rPr>
                <w:noProof/>
                <w:webHidden/>
              </w:rPr>
              <w:fldChar w:fldCharType="separate"/>
            </w:r>
            <w:r w:rsidR="004C10FC">
              <w:rPr>
                <w:noProof/>
                <w:webHidden/>
              </w:rPr>
              <w:t>15</w:t>
            </w:r>
            <w:r>
              <w:rPr>
                <w:noProof/>
                <w:webHidden/>
              </w:rPr>
              <w:fldChar w:fldCharType="end"/>
            </w:r>
          </w:hyperlink>
        </w:p>
        <w:p w14:paraId="7254A2CB" w14:textId="7A30DC64" w:rsidR="00A65C67" w:rsidRDefault="00A65C67" w:rsidP="00D22069">
          <w:pPr>
            <w:contextualSpacing/>
          </w:pPr>
          <w:r>
            <w:rPr>
              <w:b/>
              <w:bCs/>
              <w:noProof/>
            </w:rPr>
            <w:fldChar w:fldCharType="end"/>
          </w:r>
        </w:p>
      </w:sdtContent>
    </w:sdt>
    <w:p w14:paraId="29FF1C53" w14:textId="77777777" w:rsidR="00A65C67" w:rsidRDefault="00A65C67" w:rsidP="00D22069">
      <w:pPr>
        <w:pStyle w:val="Heading2"/>
        <w:spacing w:before="0" w:after="0"/>
        <w:contextualSpacing/>
      </w:pPr>
    </w:p>
    <w:p w14:paraId="65463014" w14:textId="77777777" w:rsidR="00A65C67" w:rsidRDefault="00A65C67" w:rsidP="00D22069">
      <w:pPr>
        <w:pStyle w:val="Heading2"/>
        <w:spacing w:before="0" w:after="0"/>
        <w:contextualSpacing/>
      </w:pPr>
    </w:p>
    <w:p w14:paraId="257D1596" w14:textId="77777777" w:rsidR="00A65C67" w:rsidRDefault="00A65C67" w:rsidP="00D22069">
      <w:pPr>
        <w:pStyle w:val="Heading2"/>
        <w:spacing w:before="0" w:after="0"/>
        <w:contextualSpacing/>
      </w:pPr>
      <w:bookmarkStart w:id="0" w:name="_Toc221022973"/>
    </w:p>
    <w:p w14:paraId="25ED1446" w14:textId="77777777" w:rsidR="00A65C67" w:rsidRDefault="00A65C67" w:rsidP="00D22069">
      <w:pPr>
        <w:pStyle w:val="Heading2"/>
        <w:spacing w:before="0" w:after="0"/>
        <w:contextualSpacing/>
      </w:pPr>
    </w:p>
    <w:p w14:paraId="207944E0" w14:textId="77777777" w:rsidR="00A65C67" w:rsidRDefault="00A65C67" w:rsidP="00D22069">
      <w:pPr>
        <w:pStyle w:val="Heading2"/>
        <w:spacing w:before="0" w:after="0"/>
        <w:contextualSpacing/>
      </w:pPr>
    </w:p>
    <w:p w14:paraId="1E3ED52F" w14:textId="77777777" w:rsidR="00A65C67" w:rsidRDefault="00A65C67" w:rsidP="00D22069">
      <w:pPr>
        <w:pStyle w:val="Heading2"/>
        <w:spacing w:before="0" w:after="0"/>
        <w:contextualSpacing/>
      </w:pPr>
    </w:p>
    <w:p w14:paraId="570C93E9" w14:textId="77777777" w:rsidR="00A65C67" w:rsidRDefault="00A65C67" w:rsidP="00D22069">
      <w:pPr>
        <w:pStyle w:val="Heading2"/>
        <w:spacing w:before="0" w:after="0"/>
        <w:contextualSpacing/>
      </w:pPr>
    </w:p>
    <w:p w14:paraId="63ACC68D" w14:textId="77777777" w:rsidR="00A65C67" w:rsidRDefault="00A65C67" w:rsidP="00D22069">
      <w:pPr>
        <w:pStyle w:val="Heading2"/>
        <w:spacing w:before="0" w:after="0"/>
        <w:contextualSpacing/>
      </w:pPr>
    </w:p>
    <w:p w14:paraId="0D1175E4" w14:textId="77777777" w:rsidR="00A65C67" w:rsidRDefault="00A65C67" w:rsidP="00D22069">
      <w:pPr>
        <w:pStyle w:val="Heading2"/>
        <w:spacing w:before="0" w:after="0"/>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26B14224" w14:textId="77777777" w:rsidR="00B402ED" w:rsidRDefault="00B402ED" w:rsidP="00656BA2">
      <w:pPr>
        <w:pStyle w:val="Heading2"/>
      </w:pPr>
    </w:p>
    <w:p w14:paraId="1E3F96D8" w14:textId="77777777" w:rsidR="00B402ED" w:rsidRPr="00B402ED" w:rsidRDefault="00B402ED" w:rsidP="00B402ED"/>
    <w:p w14:paraId="09D43325" w14:textId="77777777" w:rsidR="0038616A" w:rsidRDefault="0038616A" w:rsidP="00656BA2">
      <w:pPr>
        <w:pStyle w:val="Heading2"/>
      </w:pPr>
    </w:p>
    <w:p w14:paraId="2057C391" w14:textId="77777777" w:rsidR="0038616A" w:rsidRPr="0038616A" w:rsidRDefault="0038616A" w:rsidP="0038616A"/>
    <w:p w14:paraId="1CDC7B68" w14:textId="19ED7163" w:rsidR="006D1CA8" w:rsidRDefault="006D1CA8" w:rsidP="00656BA2">
      <w:pPr>
        <w:pStyle w:val="Heading2"/>
      </w:pPr>
      <w:r w:rsidRPr="00A966DB">
        <w:lastRenderedPageBreak/>
        <w:t>Introduction</w:t>
      </w:r>
      <w:bookmarkEnd w:id="0"/>
    </w:p>
    <w:p w14:paraId="2A6D59F2" w14:textId="0E8CE6FE" w:rsidR="00513985" w:rsidRPr="00513985" w:rsidRDefault="00B402ED" w:rsidP="00513985">
      <w:pPr>
        <w:spacing w:before="100" w:beforeAutospacing="1" w:after="100" w:afterAutospacing="1" w:line="480" w:lineRule="auto"/>
      </w:pPr>
      <w:r w:rsidRPr="00CE691D">
        <w:rPr>
          <w:rFonts w:eastAsiaTheme="minorHAnsi"/>
          <w:kern w:val="2"/>
          <w14:ligatures w14:val="standardContextual"/>
        </w:rPr>
        <w:t xml:space="preserve">The data for this project comes from the Multicenter AIDS Cohort Study (MACS), which is an ongoing prospective cohort study of HIV-1 infection in homosexual and bisexual men in four major U.S. cities. </w:t>
      </w:r>
      <w:r w:rsidR="003B2C46" w:rsidRPr="00CE691D">
        <w:rPr>
          <w:rFonts w:eastAsiaTheme="minorHAnsi"/>
          <w:kern w:val="2"/>
          <w14:ligatures w14:val="standardContextual"/>
        </w:rPr>
        <w:t xml:space="preserve">The dataset contains up to 8 years of annual follow-up on 715 HIV-infected men after initiating HAART (highly active antiretroviral therapy), including longitudinal </w:t>
      </w:r>
      <w:r w:rsidR="003B2C46" w:rsidRPr="00513985">
        <w:t>laboratory measures, quality-of-life outcomes, and demographic and health information.</w:t>
      </w:r>
    </w:p>
    <w:p w14:paraId="6E30AC36" w14:textId="4E7A1286" w:rsidR="00BE7551" w:rsidRPr="00513985" w:rsidRDefault="00507B1E" w:rsidP="00513985">
      <w:pPr>
        <w:spacing w:before="100" w:beforeAutospacing="1" w:after="100" w:afterAutospacing="1" w:line="480" w:lineRule="auto"/>
      </w:pPr>
      <w:r w:rsidRPr="00513985">
        <w:t>The participants were seen annually with year 0 being their last untreated visit, just before starting HAART. All other</w:t>
      </w:r>
      <w:r w:rsidRPr="00CE691D">
        <w:rPr>
          <w:rFonts w:eastAsiaTheme="minorHAnsi"/>
          <w:kern w:val="2"/>
          <w14:ligatures w14:val="standardContextual"/>
        </w:rPr>
        <w:t xml:space="preserve"> visits, from year 1 to year 8, are on the treatment plan.</w:t>
      </w:r>
      <w:r w:rsidR="00103BBE" w:rsidRPr="00CE691D">
        <w:rPr>
          <w:rFonts w:eastAsiaTheme="minorHAnsi"/>
          <w:kern w:val="2"/>
          <w14:ligatures w14:val="standardContextual"/>
        </w:rPr>
        <w:t xml:space="preserve"> Data included four measures of treatment response. The first outcome is viral load defined as the number of HIV RNA copies per milliliter of blood. The second outcome is CD4+ T-cell count, </w:t>
      </w:r>
      <w:r w:rsidR="007535C4" w:rsidRPr="00CE691D">
        <w:rPr>
          <w:rFonts w:eastAsiaTheme="minorHAnsi"/>
          <w:kern w:val="2"/>
          <w14:ligatures w14:val="standardContextual"/>
        </w:rPr>
        <w:t xml:space="preserve">which is </w:t>
      </w:r>
      <w:r w:rsidR="00103BBE" w:rsidRPr="00CE691D">
        <w:rPr>
          <w:rFonts w:eastAsiaTheme="minorHAnsi"/>
          <w:kern w:val="2"/>
          <w14:ligatures w14:val="standardContextual"/>
        </w:rPr>
        <w:t xml:space="preserve">a measure of immune </w:t>
      </w:r>
      <w:r w:rsidR="009A5A1A" w:rsidRPr="00CE691D">
        <w:rPr>
          <w:rFonts w:eastAsiaTheme="minorHAnsi"/>
          <w:kern w:val="2"/>
          <w14:ligatures w14:val="standardContextual"/>
        </w:rPr>
        <w:t>health</w:t>
      </w:r>
      <w:r w:rsidR="00103BBE" w:rsidRPr="00CE691D">
        <w:rPr>
          <w:rFonts w:eastAsiaTheme="minorHAnsi"/>
          <w:kern w:val="2"/>
          <w14:ligatures w14:val="standardContextual"/>
        </w:rPr>
        <w:t xml:space="preserve">. The last two are quality-of-life (QOL) measures derived from the SF-36 instrument. The aggregate physical health score and the aggregate mental health score, each </w:t>
      </w:r>
      <w:r w:rsidR="00103BBE" w:rsidRPr="00513985">
        <w:t>ranging from 0 to 100, with higher scores indicating better perceived health.</w:t>
      </w:r>
    </w:p>
    <w:p w14:paraId="74837656" w14:textId="0C08C7E1" w:rsidR="00B402ED" w:rsidRPr="00CE691D" w:rsidRDefault="00B402ED" w:rsidP="00513985">
      <w:pPr>
        <w:spacing w:before="100" w:beforeAutospacing="1" w:after="100" w:afterAutospacing="1" w:line="480" w:lineRule="auto"/>
        <w:rPr>
          <w:rFonts w:eastAsiaTheme="minorHAnsi"/>
          <w:kern w:val="2"/>
          <w14:ligatures w14:val="standardContextual"/>
        </w:rPr>
      </w:pPr>
      <w:r w:rsidRPr="00513985">
        <w:t>The purpose</w:t>
      </w:r>
      <w:r w:rsidRPr="00CE691D">
        <w:rPr>
          <w:rFonts w:eastAsiaTheme="minorHAnsi"/>
          <w:kern w:val="2"/>
          <w14:ligatures w14:val="standardContextual"/>
        </w:rPr>
        <w:t xml:space="preserve"> of this report is to answer the following hypothesis/questions of interest:</w:t>
      </w:r>
    </w:p>
    <w:p w14:paraId="53594BFE" w14:textId="2B45AFFC" w:rsidR="00E36448" w:rsidRPr="00CE691D" w:rsidRDefault="00E36448" w:rsidP="006C2CA5">
      <w:pPr>
        <w:pStyle w:val="p1"/>
        <w:numPr>
          <w:ilvl w:val="0"/>
          <w:numId w:val="3"/>
        </w:numPr>
        <w:contextualSpacing/>
        <w:rPr>
          <w:color w:val="000000" w:themeColor="text1"/>
        </w:rPr>
      </w:pPr>
      <w:r w:rsidRPr="00CE691D">
        <w:rPr>
          <w:color w:val="000000" w:themeColor="text1"/>
        </w:rPr>
        <w:t xml:space="preserve">Year-2 viral load, measured as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rsidR="000B4DAE" w:rsidRPr="00CE691D">
        <w:rPr>
          <w:iCs/>
          <w:color w:val="000000" w:themeColor="text1"/>
          <w:kern w:val="2"/>
          <w14:ligatures w14:val="standardContextual"/>
        </w:rPr>
        <w:t xml:space="preserve"> </w:t>
      </w:r>
      <w:r w:rsidRPr="00CE691D">
        <w:rPr>
          <w:color w:val="000000" w:themeColor="text1"/>
        </w:rPr>
        <w:t xml:space="preserve">HIV RNA copies/mL, will </w:t>
      </w:r>
      <w:r w:rsidR="009556BD">
        <w:rPr>
          <w:color w:val="000000" w:themeColor="text1"/>
        </w:rPr>
        <w:t>differ</w:t>
      </w:r>
      <w:r w:rsidRPr="00CE691D">
        <w:rPr>
          <w:color w:val="000000" w:themeColor="text1"/>
        </w:rPr>
        <w:t xml:space="preserve"> among </w:t>
      </w:r>
      <w:r w:rsidR="00CC542F" w:rsidRPr="00CE691D">
        <w:rPr>
          <w:color w:val="000000" w:themeColor="text1"/>
        </w:rPr>
        <w:t>homosexual and bisexual men with HIV-1</w:t>
      </w:r>
      <w:r w:rsidRPr="00CE691D">
        <w:rPr>
          <w:color w:val="000000" w:themeColor="text1"/>
        </w:rPr>
        <w:t xml:space="preserve"> who reported baseline hard drug use compared with non-users</w:t>
      </w:r>
      <w:r w:rsidR="00CC542F" w:rsidRPr="00CE691D">
        <w:rPr>
          <w:color w:val="000000" w:themeColor="text1"/>
        </w:rPr>
        <w:t>.</w:t>
      </w:r>
    </w:p>
    <w:p w14:paraId="63AA08AC" w14:textId="5B64F218" w:rsidR="00F07B84" w:rsidRPr="00CE691D" w:rsidRDefault="00F07B84" w:rsidP="006C2CA5">
      <w:pPr>
        <w:pStyle w:val="p1"/>
        <w:numPr>
          <w:ilvl w:val="0"/>
          <w:numId w:val="3"/>
        </w:numPr>
        <w:contextualSpacing/>
        <w:rPr>
          <w:color w:val="000000" w:themeColor="text1"/>
        </w:rPr>
      </w:pPr>
      <w:r w:rsidRPr="00CE691D">
        <w:rPr>
          <w:color w:val="000000" w:themeColor="text1"/>
        </w:rPr>
        <w:t xml:space="preserve">Year-2 CD4+ T-cell counts, will </w:t>
      </w:r>
      <w:r w:rsidR="009556BD">
        <w:rPr>
          <w:color w:val="000000" w:themeColor="text1"/>
        </w:rPr>
        <w:t>differ</w:t>
      </w:r>
      <w:r w:rsidRPr="00CE691D">
        <w:rPr>
          <w:color w:val="000000" w:themeColor="text1"/>
        </w:rPr>
        <w:t xml:space="preserve"> among homosexual and bisexual men with HIV-1 who reported baseline hard drug use compared with non-users.</w:t>
      </w:r>
    </w:p>
    <w:p w14:paraId="6742833A" w14:textId="088D9243" w:rsidR="00A54A6A" w:rsidRPr="00CE691D" w:rsidRDefault="006C2CA5" w:rsidP="006C2CA5">
      <w:pPr>
        <w:pStyle w:val="ListParagraph"/>
        <w:numPr>
          <w:ilvl w:val="0"/>
          <w:numId w:val="3"/>
        </w:numPr>
        <w:spacing w:before="100" w:beforeAutospacing="1" w:after="100" w:afterAutospacing="1"/>
        <w:rPr>
          <w:color w:val="000000" w:themeColor="text1"/>
        </w:rPr>
      </w:pPr>
      <w:r w:rsidRPr="00CE691D">
        <w:rPr>
          <w:color w:val="000000" w:themeColor="text1"/>
        </w:rPr>
        <w:t>Year-2 physical and mental QOL will differ between baseline hard-drug users and non-users.</w:t>
      </w:r>
    </w:p>
    <w:p w14:paraId="3209BB0E" w14:textId="1A354465" w:rsidR="006C2CA5" w:rsidRPr="00CE691D" w:rsidRDefault="006C2CA5" w:rsidP="006C2CA5">
      <w:pPr>
        <w:pStyle w:val="ListParagraph"/>
        <w:numPr>
          <w:ilvl w:val="0"/>
          <w:numId w:val="3"/>
        </w:numPr>
        <w:rPr>
          <w:color w:val="000000" w:themeColor="text1"/>
        </w:rPr>
      </w:pPr>
      <w:r w:rsidRPr="00CE691D">
        <w:rPr>
          <w:color w:val="000000" w:themeColor="text1"/>
        </w:rPr>
        <w:t>Adherence during follow-up partially mediates the association between baseline hard drug use and Year-2 outcomes.</w:t>
      </w:r>
    </w:p>
    <w:p w14:paraId="70CCD410" w14:textId="325F289C" w:rsidR="00DF5320" w:rsidRDefault="0027777D" w:rsidP="00E94055">
      <w:pPr>
        <w:pStyle w:val="ListParagraph"/>
        <w:numPr>
          <w:ilvl w:val="0"/>
          <w:numId w:val="3"/>
        </w:numPr>
        <w:rPr>
          <w:color w:val="000000" w:themeColor="text1"/>
        </w:rPr>
      </w:pPr>
      <w:r w:rsidRPr="00CE691D">
        <w:rPr>
          <w:color w:val="000000" w:themeColor="text1"/>
        </w:rPr>
        <w:t xml:space="preserve">Participants missing Year-2 measurements will differ from those with complete data with respect to baseline hard drug use and baseline </w:t>
      </w:r>
      <w:r w:rsidR="00842E6F" w:rsidRPr="00CE691D">
        <w:rPr>
          <w:color w:val="000000" w:themeColor="text1"/>
        </w:rPr>
        <w:t>outcome measures</w:t>
      </w:r>
      <w:bookmarkStart w:id="1" w:name="_Toc221022974"/>
      <w:r w:rsidR="00951EBD">
        <w:rPr>
          <w:color w:val="000000" w:themeColor="text1"/>
        </w:rPr>
        <w:t>.</w:t>
      </w:r>
    </w:p>
    <w:p w14:paraId="40CEAADA" w14:textId="77777777" w:rsidR="00DF5320" w:rsidRDefault="00DF5320" w:rsidP="00DF5320">
      <w:pPr>
        <w:rPr>
          <w:color w:val="000000" w:themeColor="text1"/>
        </w:rPr>
      </w:pPr>
    </w:p>
    <w:p w14:paraId="2C194C87" w14:textId="77777777" w:rsidR="00DF5320" w:rsidRPr="00DF5320" w:rsidRDefault="00DF5320" w:rsidP="00DF5320">
      <w:pPr>
        <w:rPr>
          <w:color w:val="000000" w:themeColor="text1"/>
        </w:rPr>
      </w:pPr>
    </w:p>
    <w:p w14:paraId="1CE6E844" w14:textId="2C2EA380" w:rsidR="0013279C" w:rsidRDefault="006D1CA8" w:rsidP="00E94055">
      <w:pPr>
        <w:pStyle w:val="Heading2"/>
      </w:pPr>
      <w:r w:rsidRPr="00A966DB">
        <w:lastRenderedPageBreak/>
        <w:t>Method</w:t>
      </w:r>
      <w:bookmarkEnd w:id="1"/>
      <w:r w:rsidR="00DF5320">
        <w:t>s</w:t>
      </w:r>
    </w:p>
    <w:p w14:paraId="1E8C90D4" w14:textId="77777777" w:rsidR="00222E24" w:rsidRPr="00222E24" w:rsidRDefault="00222E24" w:rsidP="00222E24"/>
    <w:p w14:paraId="6B7CBB56" w14:textId="484F1509" w:rsidR="006E0C0F" w:rsidRDefault="006E0C0F" w:rsidP="006E0C0F">
      <w:pPr>
        <w:pStyle w:val="Heading4"/>
      </w:pPr>
      <w:r>
        <w:t>2.1 Data Cleaning</w:t>
      </w:r>
    </w:p>
    <w:p w14:paraId="381D8F74" w14:textId="77777777" w:rsidR="00365339" w:rsidRDefault="000176E7" w:rsidP="00513985">
      <w:pPr>
        <w:spacing w:before="100" w:beforeAutospacing="1" w:after="100" w:afterAutospacing="1" w:line="480" w:lineRule="auto"/>
      </w:pPr>
      <w:r w:rsidRPr="000176E7">
        <w:t>The original dataset was structured in long format with repeated annual visits per participant. For this analysis, data were reshaped to a subject-level format including baseline (Year 0) and Year 2 measurements. Each row therefore represented a single participant with baseline covariates and Year 2 outcomes.</w:t>
      </w:r>
    </w:p>
    <w:p w14:paraId="10CCE8C3" w14:textId="3CB6490F" w:rsidR="00513985" w:rsidRDefault="000176E7" w:rsidP="00513985">
      <w:pPr>
        <w:spacing w:before="100" w:beforeAutospacing="1" w:after="100" w:afterAutospacing="1" w:line="480" w:lineRule="auto"/>
      </w:pPr>
      <w:r w:rsidRPr="000176E7">
        <w:t xml:space="preserve">Baseline hard drug use was coded as a binary indicator (Yes vs. No). Adherence during follow-up was dichotomized (&lt;95% vs. ≥95%). Follow-up status was defined as a binary variable indicating whether participants had complete baseline and Year 2 data required for </w:t>
      </w:r>
      <w:r w:rsidR="00BE714A">
        <w:t xml:space="preserve">dropout </w:t>
      </w:r>
      <w:r w:rsidRPr="000176E7">
        <w:t>analys</w:t>
      </w:r>
      <w:r w:rsidR="00BE714A">
        <w:t>es</w:t>
      </w:r>
      <w:r w:rsidRPr="000176E7">
        <w:t xml:space="preserve"> (Complete vs. Missing).</w:t>
      </w:r>
    </w:p>
    <w:p w14:paraId="2298FA69" w14:textId="2AC63430" w:rsidR="00670995" w:rsidRDefault="00E94055" w:rsidP="00513985">
      <w:pPr>
        <w:spacing w:before="100" w:beforeAutospacing="1" w:after="100" w:afterAutospacing="1" w:line="480" w:lineRule="auto"/>
      </w:pPr>
      <w:r w:rsidRPr="00BE714A">
        <w:t xml:space="preserve">The race/ethnicity covariate </w:t>
      </w:r>
      <w:r w:rsidR="00786988" w:rsidRPr="00BE714A">
        <w:t>was</w:t>
      </w:r>
      <w:r w:rsidR="0092270E" w:rsidRPr="00BE714A">
        <w:t xml:space="preserve"> </w:t>
      </w:r>
      <w:r w:rsidR="000176E7" w:rsidRPr="00BE714A">
        <w:t>categorized as</w:t>
      </w:r>
      <w:r w:rsidRPr="00BE714A">
        <w:t xml:space="preserve"> Whit</w:t>
      </w:r>
      <w:r w:rsidR="00AD22CC" w:rsidRPr="00BE714A">
        <w:t>e</w:t>
      </w:r>
      <w:r w:rsidR="0092270E" w:rsidRPr="00BE714A">
        <w:t xml:space="preserve"> non-</w:t>
      </w:r>
      <w:r w:rsidRPr="00BE714A">
        <w:t>Hispanic, Black</w:t>
      </w:r>
      <w:r w:rsidR="0092270E" w:rsidRPr="00BE714A">
        <w:t xml:space="preserve"> non-</w:t>
      </w:r>
      <w:r w:rsidRPr="00BE714A">
        <w:t>Hispanic, and Hispanic. We acknowledge that race is a social construct and that observed differences likely reflect structural inequities rather</w:t>
      </w:r>
      <w:r w:rsidRPr="00CE691D">
        <w:t xml:space="preserve"> than biological differences. </w:t>
      </w:r>
      <w:r w:rsidR="000176E7">
        <w:t xml:space="preserve"> </w:t>
      </w:r>
      <w:r w:rsidR="000176E7" w:rsidRPr="002A1760">
        <w:t xml:space="preserve">Education was categorized as high school or less, college, and post-graduate. Smoking status was categorized as former or current smoker. Because viral load was highly right-skewed, values were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rsidR="000176E7" w:rsidRPr="002A1760">
        <w:t>-transformed prior to modeling. CD4 count and QOL measures were retained on their original scales based on preliminary diagnostic assessment. Implausible BMI values (999, −1, or &gt;100) were coded as missing.</w:t>
      </w:r>
    </w:p>
    <w:p w14:paraId="3DBD09BB" w14:textId="44AAF6FE" w:rsidR="00DD10B4" w:rsidRPr="00DD10B4" w:rsidRDefault="00DD10B4" w:rsidP="00513985">
      <w:pPr>
        <w:spacing w:before="100" w:beforeAutospacing="1" w:after="100" w:afterAutospacing="1" w:line="480" w:lineRule="auto"/>
      </w:pPr>
      <w:r w:rsidRPr="00DD10B4">
        <w:t>Participants without both baseline and Year 2 measurements were excluded from complete-case regression analyses.</w:t>
      </w:r>
    </w:p>
    <w:p w14:paraId="7CD92F30" w14:textId="366EE7AE" w:rsidR="006E0C0F" w:rsidRDefault="006E0C0F" w:rsidP="00FA7D62">
      <w:pPr>
        <w:pStyle w:val="Heading4"/>
      </w:pPr>
      <w:r>
        <w:lastRenderedPageBreak/>
        <w:t>2.2 Data Analysis</w:t>
      </w:r>
    </w:p>
    <w:p w14:paraId="07D85BE0" w14:textId="77777777" w:rsidR="00DD10B4" w:rsidRDefault="00DD10B4" w:rsidP="00DD10B4"/>
    <w:p w14:paraId="5773B691" w14:textId="77777777" w:rsidR="00F32411" w:rsidRDefault="00DD10B4" w:rsidP="00F32411">
      <w:pPr>
        <w:spacing w:before="100" w:beforeAutospacing="1" w:after="100" w:afterAutospacing="1" w:line="480" w:lineRule="auto"/>
      </w:pPr>
      <w:r w:rsidRPr="002A1760">
        <w:t xml:space="preserve">Treatment response at Year 2 was evaluated using Bayesian linear regression models for each outcome. Outcomes included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t xml:space="preserve"> </w:t>
      </w:r>
      <w:r w:rsidRPr="002A1760">
        <w:t>viral load</w:t>
      </w:r>
      <w:r>
        <w:t xml:space="preserve"> (VL)</w:t>
      </w:r>
      <w:r w:rsidRPr="002A1760">
        <w:t>, CD4 count, physical QOL, and mental QOL. All models adjusted for baseline hard drug use (primary exposure), baseline value of the outcome, age, BMI, smoking status, education, and race/ethnicity.</w:t>
      </w:r>
      <w:r w:rsidR="00801431">
        <w:t xml:space="preserve"> </w:t>
      </w:r>
      <w:r w:rsidR="00801431" w:rsidRPr="00801431">
        <w:t>This approach allows direct evaluation of differences between hard drug users and non-users while adjusting for potential confounders and estimating adjusted mean differences in treatment response.</w:t>
      </w:r>
    </w:p>
    <w:p w14:paraId="590AA4A2" w14:textId="3592AFEC" w:rsidR="00663D7D" w:rsidRPr="00663D7D" w:rsidRDefault="00663D7D" w:rsidP="00F32411">
      <w:pPr>
        <w:spacing w:before="100" w:beforeAutospacing="1" w:after="100" w:afterAutospacing="1" w:line="480" w:lineRule="auto"/>
      </w:pPr>
      <w:r w:rsidRPr="00663D7D">
        <w:t xml:space="preserve">Models were estimated using the brms package in R, which fits Bayesian models via Stan using Hamiltonian Monte Carlo </w:t>
      </w:r>
      <w:r w:rsidR="004D1600">
        <w:t xml:space="preserve">with the No-U-Turn sampler </w:t>
      </w:r>
      <w:r w:rsidRPr="00663D7D">
        <w:t>(HMC-NUTS). A Gaussian likelihood was specified for all outcomes. Weakly informative priors were assigned to regression coefficients and intercepts using normal distributions with mean 0 and large variance</w:t>
      </w:r>
      <w:r>
        <w:t xml:space="preserve"> [</w:t>
      </w:r>
      <w:r w:rsidRPr="00647543">
        <w:t xml:space="preserve">N(0, </w:t>
      </w:r>
      <m:oMath>
        <m:sSup>
          <m:sSupPr>
            <m:ctrlPr>
              <w:rPr>
                <w:rFonts w:ascii="Cambria Math" w:hAnsi="Cambria Math"/>
                <w:i/>
              </w:rPr>
            </m:ctrlPr>
          </m:sSupPr>
          <m:e>
            <m:r>
              <w:rPr>
                <w:rFonts w:ascii="Cambria Math" w:hAnsi="Cambria Math"/>
              </w:rPr>
              <m:t>100</m:t>
            </m:r>
          </m:e>
          <m:sup>
            <m:r>
              <w:rPr>
                <w:rFonts w:ascii="Cambria Math" w:hAnsi="Cambria Math"/>
              </w:rPr>
              <m:t>2</m:t>
            </m:r>
          </m:sup>
        </m:sSup>
      </m:oMath>
      <w:r w:rsidRPr="00647543">
        <w:t>)</w:t>
      </w:r>
      <w:r>
        <w:t>]</w:t>
      </w:r>
      <w:r w:rsidRPr="00663D7D">
        <w:t>. Residual variance was assigned a half-Student-t prior with 3 degrees of freedom to allow for heavier tails</w:t>
      </w:r>
      <w:r w:rsidR="00A60B4C">
        <w:t xml:space="preserve"> [</w:t>
      </w:r>
      <w:r w:rsidR="00A60B4C" w:rsidRPr="00CE691D">
        <w:t>Half-t(3,0,</w:t>
      </w:r>
      <w:r w:rsidR="00A60B4C" w:rsidRPr="00A60B4C">
        <w:rPr>
          <w:rFonts w:ascii="Cambria Math" w:hAnsi="Cambria Math"/>
          <w:i/>
        </w:rPr>
        <w:t xml:space="preserve"> </w:t>
      </w:r>
      <m:oMath>
        <m:sSup>
          <m:sSupPr>
            <m:ctrlPr>
              <w:rPr>
                <w:rFonts w:ascii="Cambria Math" w:hAnsi="Cambria Math"/>
                <w:i/>
              </w:rPr>
            </m:ctrlPr>
          </m:sSupPr>
          <m:e>
            <m:r>
              <w:rPr>
                <w:rFonts w:ascii="Cambria Math" w:hAnsi="Cambria Math"/>
              </w:rPr>
              <m:t>100</m:t>
            </m:r>
          </m:e>
          <m:sup>
            <m:r>
              <w:rPr>
                <w:rFonts w:ascii="Cambria Math" w:hAnsi="Cambria Math"/>
              </w:rPr>
              <m:t>2</m:t>
            </m:r>
          </m:sup>
        </m:sSup>
      </m:oMath>
      <w:r w:rsidR="00A60B4C" w:rsidRPr="00647543">
        <w:t>)</w:t>
      </w:r>
      <w:r w:rsidR="00A60B4C">
        <w:t>]</w:t>
      </w:r>
      <w:r w:rsidRPr="00663D7D">
        <w:t>.</w:t>
      </w:r>
    </w:p>
    <w:p w14:paraId="17A7C940" w14:textId="07FBE58C" w:rsidR="00E0073C" w:rsidRDefault="004D1600" w:rsidP="00E0073C">
      <w:pPr>
        <w:spacing w:before="100" w:beforeAutospacing="1" w:after="100" w:afterAutospacing="1" w:line="480" w:lineRule="auto"/>
      </w:pPr>
      <w:r w:rsidRPr="002A1760">
        <w:t xml:space="preserve">Four Markov chains were run with 2,000 iterations each, including 1,000 warmup iterations. </w:t>
      </w:r>
      <w:r w:rsidR="003E64EA" w:rsidRPr="00CE691D">
        <w:t>No initial values were specified, so the values were drawn uniformly from the interval (-2,2).</w:t>
      </w:r>
      <w:r w:rsidR="003E64EA">
        <w:t xml:space="preserve"> </w:t>
      </w:r>
      <w:r w:rsidRPr="002A1760">
        <w:t xml:space="preserve">Convergence was assessed using </w:t>
      </w:r>
      <w:r w:rsidR="00577D4B" w:rsidRPr="00577D4B">
        <w:t xml:space="preserve">trace plots, </w:t>
      </w:r>
      <w:r w:rsidRPr="002A1760">
        <w:t xml:space="preserve">the Gelman–Rubin diagnostic (R̂ &lt; 1.01) and </w:t>
      </w:r>
      <w:r w:rsidR="00BA4744">
        <w:t xml:space="preserve">adequate </w:t>
      </w:r>
      <w:r w:rsidRPr="002A1760">
        <w:t>effective sample size (ESS</w:t>
      </w:r>
      <w:r w:rsidR="00BA4744">
        <w:t xml:space="preserve">) should be greater than </w:t>
      </w:r>
      <w:r w:rsidRPr="002A1760">
        <w:t>1000</w:t>
      </w:r>
      <w:r w:rsidR="00BA4744">
        <w:t xml:space="preserve"> </w:t>
      </w:r>
      <w:r w:rsidR="00BA4744">
        <w:t>(</w:t>
      </w:r>
      <w:proofErr w:type="spellStart"/>
      <w:r w:rsidR="00BA4744" w:rsidRPr="00842729">
        <w:rPr>
          <w:color w:val="000000" w:themeColor="text1"/>
        </w:rPr>
        <w:t>Bürkner</w:t>
      </w:r>
      <w:proofErr w:type="spellEnd"/>
      <w:r w:rsidR="00BA4744">
        <w:t>, 2017)</w:t>
      </w:r>
      <w:r w:rsidRPr="002A1760">
        <w:t xml:space="preserve">. </w:t>
      </w:r>
      <w:r w:rsidR="00D00685" w:rsidRPr="00CE691D">
        <w:t>For each outcome, the posterior median and 95% highest density interval (HDI), the probability of direction in the hypothesized direction</w:t>
      </w:r>
      <w:r w:rsidR="00BC40E2">
        <w:t xml:space="preserve">, </w:t>
      </w:r>
      <w:r w:rsidR="00837DB4">
        <w:t>the posterior probability of exceeding absolute clinical threshold</w:t>
      </w:r>
      <w:r w:rsidR="00BE7551">
        <w:t xml:space="preserve"> </w:t>
      </w:r>
      <w:r w:rsidR="00F83F86">
        <w:rPr>
          <w:rFonts w:eastAsiaTheme="minorHAnsi"/>
          <w:color w:val="000000" w:themeColor="text1"/>
          <w:kern w:val="2"/>
          <w14:ligatures w14:val="standardContextual"/>
        </w:rPr>
        <w:t>(</w:t>
      </w:r>
      <w:r w:rsidR="00BC40E2" w:rsidRPr="00CE691D">
        <w:rPr>
          <w:rFonts w:eastAsiaTheme="minorHAnsi"/>
          <w:color w:val="000000" w:themeColor="text1"/>
          <w:kern w:val="2"/>
          <w14:ligatures w14:val="standardContextual"/>
        </w:rPr>
        <w:t>Pr(|</w:t>
      </w:r>
      <w:r w:rsidR="00BC40E2">
        <w:rPr>
          <w:rFonts w:eastAsiaTheme="minorHAnsi"/>
          <w:color w:val="000000" w:themeColor="text1"/>
          <w:kern w:val="2"/>
          <w14:ligatures w14:val="standardContextual"/>
        </w:rPr>
        <w:t>Outcome</w:t>
      </w:r>
      <w:r w:rsidR="00BC40E2" w:rsidRPr="00CE691D">
        <w:rPr>
          <w:rFonts w:eastAsiaTheme="minorHAnsi"/>
          <w:color w:val="000000" w:themeColor="text1"/>
          <w:kern w:val="2"/>
          <w14:ligatures w14:val="standardContextual"/>
        </w:rPr>
        <w:t>|&gt;</w:t>
      </w:r>
      <w:r w:rsidR="00BC40E2">
        <w:rPr>
          <w:rFonts w:eastAsiaTheme="minorHAnsi"/>
          <w:color w:val="000000" w:themeColor="text1"/>
          <w:kern w:val="2"/>
          <w14:ligatures w14:val="standardContextual"/>
        </w:rPr>
        <w:t>threshold</w:t>
      </w:r>
      <w:r w:rsidR="00BC40E2" w:rsidRPr="00CE691D">
        <w:rPr>
          <w:rFonts w:eastAsiaTheme="minorHAnsi"/>
          <w:color w:val="000000" w:themeColor="text1"/>
          <w:kern w:val="2"/>
          <w14:ligatures w14:val="standardContextual"/>
        </w:rPr>
        <w:t>)</w:t>
      </w:r>
      <w:r w:rsidR="00F83F86">
        <w:rPr>
          <w:rFonts w:eastAsiaTheme="minorHAnsi"/>
          <w:color w:val="000000" w:themeColor="text1"/>
          <w:kern w:val="2"/>
          <w14:ligatures w14:val="standardContextual"/>
        </w:rPr>
        <w:t>)</w:t>
      </w:r>
      <w:r w:rsidR="00837DB4">
        <w:t xml:space="preserve">, </w:t>
      </w:r>
      <w:r w:rsidR="00D00685" w:rsidRPr="00CE691D">
        <w:t>and WAIC differences</w:t>
      </w:r>
      <w:r w:rsidR="00E2457F">
        <w:t xml:space="preserve"> were reported</w:t>
      </w:r>
      <w:r w:rsidR="008F3058">
        <w:t xml:space="preserve"> (SEXIT framework)</w:t>
      </w:r>
      <w:r w:rsidR="00D00685" w:rsidRPr="00CE691D">
        <w:t>.</w:t>
      </w:r>
    </w:p>
    <w:p w14:paraId="495FEBEB" w14:textId="36E2035D" w:rsidR="00702208" w:rsidRDefault="001E4297" w:rsidP="00E0073C">
      <w:pPr>
        <w:spacing w:before="100" w:beforeAutospacing="1" w:after="100" w:afterAutospacing="1" w:line="480" w:lineRule="auto"/>
      </w:pPr>
      <w:r w:rsidRPr="001E4297">
        <w:lastRenderedPageBreak/>
        <w:t xml:space="preserve">Frequentist linear regression models with identical covariate structure were also fit for comparison. Two-sided tests with α = 0.05 were used to determine statistical significance. </w:t>
      </w:r>
    </w:p>
    <w:p w14:paraId="5B54DBE7" w14:textId="0E9E8DF6" w:rsidR="00BC6E31" w:rsidRPr="00BC6E31" w:rsidRDefault="00BC6E31" w:rsidP="00444FE5">
      <w:pPr>
        <w:spacing w:line="480" w:lineRule="auto"/>
      </w:pPr>
      <w:r w:rsidRPr="00BC6E31">
        <w:t xml:space="preserve">Because Bayesian inference is based on posterior probability distributions rather than repeated null hypothesis significance testing, formal adjustments for multiple comparisons were not </w:t>
      </w:r>
      <w:r>
        <w:t>performed</w:t>
      </w:r>
      <w:r w:rsidRPr="00BC6E31">
        <w:t>.</w:t>
      </w:r>
      <w:r w:rsidR="003D60B1">
        <w:t xml:space="preserve"> </w:t>
      </w:r>
      <w:r w:rsidR="003D60B1" w:rsidRPr="00644C20">
        <w:t xml:space="preserve">All analyses were conducted using R (version </w:t>
      </w:r>
      <w:r w:rsidR="003D60B1">
        <w:t>4.5.1 “Great Square Root”).</w:t>
      </w:r>
    </w:p>
    <w:p w14:paraId="6B02B2D5" w14:textId="61851FA2" w:rsidR="001E4297" w:rsidRDefault="001E4297" w:rsidP="001E4297"/>
    <w:p w14:paraId="679715A7" w14:textId="29B504F1" w:rsidR="009A6B93" w:rsidRDefault="009A6B93" w:rsidP="009A6B93">
      <w:pPr>
        <w:pStyle w:val="Heading4"/>
      </w:pPr>
      <w:r>
        <w:t>2.2</w:t>
      </w:r>
      <w:r>
        <w:t>.1</w:t>
      </w:r>
      <w:r>
        <w:t xml:space="preserve"> </w:t>
      </w:r>
      <w:r>
        <w:t>Mediation</w:t>
      </w:r>
      <w:r>
        <w:t xml:space="preserve"> </w:t>
      </w:r>
    </w:p>
    <w:p w14:paraId="743670EC" w14:textId="77777777" w:rsidR="009A6B93" w:rsidRPr="001E4297" w:rsidRDefault="009A6B93" w:rsidP="001E4297"/>
    <w:p w14:paraId="3A67C56F" w14:textId="0C1D4CA3" w:rsidR="00F82D8A" w:rsidRDefault="00293900" w:rsidP="00444FE5">
      <w:pPr>
        <w:spacing w:line="480" w:lineRule="auto"/>
      </w:pPr>
      <w:r w:rsidRPr="002A1760">
        <w:t xml:space="preserve">To evaluate whether adherence mediated the association between baseline hard drug use and Year 2 outcomes, two models were fit for each outcome: (1) a total-effect model excluding adherence, and (2) a direct-effect model including adherence. </w:t>
      </w:r>
      <w:r w:rsidR="00F82D8A" w:rsidRPr="00361EB3">
        <w:t>Evidence consistent with mediation was assessed by examining attenuation of the hard drug use coefficient after inclusion of adherence.</w:t>
      </w:r>
      <w:r w:rsidR="00196F7C" w:rsidRPr="00196F7C">
        <w:t xml:space="preserve"> </w:t>
      </w:r>
      <w:r w:rsidR="00196F7C" w:rsidRPr="002A1760">
        <w:t>The proportion mediated was calculated as (TE − DE) / TE. This approach represents an exploratory difference-in-coefficients method and does not constitute a formal causal mediation analysis.</w:t>
      </w:r>
    </w:p>
    <w:p w14:paraId="01F6B1C1" w14:textId="77777777" w:rsidR="009A6B93" w:rsidRDefault="009A6B93" w:rsidP="00F82D8A"/>
    <w:p w14:paraId="25CF5F06" w14:textId="44C8CB25" w:rsidR="009A6B93" w:rsidRDefault="009A6B93" w:rsidP="009A6B93">
      <w:pPr>
        <w:pStyle w:val="Heading4"/>
      </w:pPr>
      <w:r>
        <w:t>2.2.</w:t>
      </w:r>
      <w:r>
        <w:t>2</w:t>
      </w:r>
      <w:r>
        <w:t xml:space="preserve"> </w:t>
      </w:r>
      <w:r>
        <w:t>Loss to Follow-up</w:t>
      </w:r>
      <w:r>
        <w:t xml:space="preserve"> </w:t>
      </w:r>
    </w:p>
    <w:p w14:paraId="0C24AA14" w14:textId="77777777" w:rsidR="00BE714A" w:rsidRPr="00BE714A" w:rsidRDefault="00BE714A" w:rsidP="00BE714A"/>
    <w:p w14:paraId="7A2B6941" w14:textId="0540F97F" w:rsidR="00BE714A" w:rsidRPr="00BE714A" w:rsidRDefault="00BE714A" w:rsidP="00BE714A">
      <w:pPr>
        <w:spacing w:line="480" w:lineRule="auto"/>
      </w:pPr>
      <w:r w:rsidRPr="00BE714A">
        <w:t xml:space="preserve">Baseline characteristics were compared between participants retained and those lost to follow-up using Wilcoxon rank-sum tests for continuous variables due to non-normal distributions. Participants without both baseline and Year 2 measurements were excluded from complete-case regression analyses. To further assess potential bias from </w:t>
      </w:r>
      <w:r w:rsidR="0080687B">
        <w:t>dropouts</w:t>
      </w:r>
      <w:r w:rsidRPr="00BE714A">
        <w:t xml:space="preserve">, logistic regression was used to identify </w:t>
      </w:r>
      <w:r w:rsidR="00A16CC6">
        <w:t xml:space="preserve">baseline health information </w:t>
      </w:r>
      <w:r w:rsidRPr="00BE714A">
        <w:t>of dropout, with follow-up status modeled as a binary outcome.</w:t>
      </w:r>
    </w:p>
    <w:p w14:paraId="73821223" w14:textId="77777777" w:rsidR="00831ABD" w:rsidRPr="00831ABD" w:rsidRDefault="00831ABD" w:rsidP="00831ABD"/>
    <w:p w14:paraId="31D59E26" w14:textId="2BB381A7" w:rsidR="00713509" w:rsidRDefault="00FF20B2" w:rsidP="00713509">
      <w:pPr>
        <w:pStyle w:val="Heading2"/>
      </w:pPr>
      <w:bookmarkStart w:id="2" w:name="_Toc221022975"/>
      <w:r>
        <w:lastRenderedPageBreak/>
        <w:t>Results</w:t>
      </w:r>
      <w:bookmarkEnd w:id="2"/>
    </w:p>
    <w:p w14:paraId="7072E462" w14:textId="77777777" w:rsidR="009B13B6" w:rsidRPr="009B13B6" w:rsidRDefault="009B13B6" w:rsidP="009B13B6"/>
    <w:p w14:paraId="18764DE6" w14:textId="7C4649B9" w:rsidR="00E96081" w:rsidRDefault="006629A8" w:rsidP="00BA5967">
      <w:pPr>
        <w:contextualSpacing/>
        <w:jc w:val="center"/>
      </w:pPr>
      <w:r w:rsidRPr="006629A8">
        <w:drawing>
          <wp:inline distT="0" distB="0" distL="0" distR="0" wp14:anchorId="2F874BD3" wp14:editId="6CD50EA1">
            <wp:extent cx="5044190" cy="7343613"/>
            <wp:effectExtent l="0" t="0" r="0" b="0"/>
            <wp:docPr id="5" name="Picture 4" descr="A table of numbers and text&#10;&#10;AI-generated content may be incorrect.">
              <a:extLst xmlns:a="http://schemas.openxmlformats.org/drawingml/2006/main">
                <a:ext uri="{FF2B5EF4-FFF2-40B4-BE49-F238E27FC236}">
                  <a16:creationId xmlns:a16="http://schemas.microsoft.com/office/drawing/2014/main" id="{34F9E3E6-3B52-9F5B-7D2C-EEA89A8243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table of numbers and text&#10;&#10;AI-generated content may be incorrect.">
                      <a:extLst>
                        <a:ext uri="{FF2B5EF4-FFF2-40B4-BE49-F238E27FC236}">
                          <a16:creationId xmlns:a16="http://schemas.microsoft.com/office/drawing/2014/main" id="{34F9E3E6-3B52-9F5B-7D2C-EEA89A8243B3}"/>
                        </a:ext>
                      </a:extLst>
                    </pic:cNvPr>
                    <pic:cNvPicPr>
                      <a:picLocks noChangeAspect="1"/>
                    </pic:cNvPicPr>
                  </pic:nvPicPr>
                  <pic:blipFill>
                    <a:blip r:embed="rId8"/>
                    <a:stretch>
                      <a:fillRect/>
                    </a:stretch>
                  </pic:blipFill>
                  <pic:spPr>
                    <a:xfrm>
                      <a:off x="0" y="0"/>
                      <a:ext cx="5084261" cy="7401951"/>
                    </a:xfrm>
                    <a:prstGeom prst="rect">
                      <a:avLst/>
                    </a:prstGeom>
                  </pic:spPr>
                </pic:pic>
              </a:graphicData>
            </a:graphic>
          </wp:inline>
        </w:drawing>
      </w:r>
    </w:p>
    <w:p w14:paraId="0E107737" w14:textId="68750EC9" w:rsidR="0020070A" w:rsidRPr="0002461F" w:rsidRDefault="00D20D81" w:rsidP="00BA5967">
      <w:pPr>
        <w:pStyle w:val="Caption"/>
        <w:contextualSpacing/>
      </w:pPr>
      <w:bookmarkStart w:id="3"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sidR="00812CD4">
        <w:rPr>
          <w:b/>
          <w:bCs/>
          <w:noProof/>
          <w:sz w:val="21"/>
          <w:szCs w:val="21"/>
        </w:rPr>
        <w:t>1</w:t>
      </w:r>
      <w:r w:rsidRPr="00D20D81">
        <w:rPr>
          <w:b/>
          <w:bCs/>
          <w:sz w:val="21"/>
          <w:szCs w:val="21"/>
        </w:rPr>
        <w:fldChar w:fldCharType="end"/>
      </w:r>
      <w:bookmarkEnd w:id="3"/>
      <w:r w:rsidR="0020070A" w:rsidRPr="00D20D81">
        <w:rPr>
          <w:b/>
          <w:bCs/>
          <w:sz w:val="21"/>
          <w:szCs w:val="21"/>
        </w:rPr>
        <w:t>.</w:t>
      </w:r>
      <w:r w:rsidR="0020070A" w:rsidRPr="0002461F">
        <w:rPr>
          <w:sz w:val="21"/>
          <w:szCs w:val="21"/>
        </w:rPr>
        <w:t> </w:t>
      </w:r>
      <w:r w:rsidR="00BB4A47" w:rsidRPr="001139CA">
        <w:rPr>
          <w:sz w:val="21"/>
          <w:szCs w:val="21"/>
        </w:rPr>
        <w:t>Baseline characteristics of HIV-infected men initiating HAART, overall and stratified by baseline hard drug use</w:t>
      </w:r>
      <w:r w:rsidR="00BB4A47">
        <w:rPr>
          <w:sz w:val="21"/>
          <w:szCs w:val="21"/>
        </w:rPr>
        <w:t>.</w:t>
      </w:r>
      <w:r w:rsidR="004C3EEC">
        <w:rPr>
          <w:sz w:val="21"/>
          <w:szCs w:val="21"/>
        </w:rPr>
        <w:t xml:space="preserve"> This table represents the total number of subjects that will be used in all subsequent analyses.</w:t>
      </w:r>
    </w:p>
    <w:p w14:paraId="7E78F14D" w14:textId="650C754C" w:rsidR="008C0761" w:rsidRDefault="00AA256E" w:rsidP="0028788D">
      <w:pPr>
        <w:spacing w:before="100" w:beforeAutospacing="1" w:after="100" w:afterAutospacing="1" w:line="480" w:lineRule="auto"/>
      </w:pPr>
      <w:r w:rsidRPr="002A1760">
        <w:lastRenderedPageBreak/>
        <w:t>Of 715 participants, 463 (65%) had complete Year 2 outcome data and were included in regression analyses. Baseline hard drug users reported lower physical and mental QOL scores and lower CD4 counts compared with non-users. Viral load, age, BMI, and race/ethnicity distributions were similar between groups.</w:t>
      </w:r>
      <w:r w:rsidR="006629A8">
        <w:t xml:space="preserve"> All but one of the hard drug users had adherence below 95%</w:t>
      </w:r>
    </w:p>
    <w:p w14:paraId="7B454325" w14:textId="77777777" w:rsidR="008C0761" w:rsidRDefault="008C0761" w:rsidP="00FA7D62">
      <w:pPr>
        <w:pStyle w:val="Heading4"/>
      </w:pPr>
    </w:p>
    <w:p w14:paraId="356BBC92" w14:textId="00CE093E" w:rsidR="00FA7D62" w:rsidRDefault="00FA7D62" w:rsidP="00FA7D62">
      <w:pPr>
        <w:pStyle w:val="Heading4"/>
      </w:pPr>
      <w:r w:rsidRPr="00FA7D62">
        <w:t>3.</w:t>
      </w:r>
      <w:r w:rsidR="00981E09">
        <w:t>1</w:t>
      </w:r>
      <w:r w:rsidRPr="00FA7D62">
        <w:t xml:space="preserve"> </w:t>
      </w:r>
      <w:r w:rsidR="00A47AE3">
        <w:t>Treatment Response 2 years After Initiating HAART</w:t>
      </w:r>
    </w:p>
    <w:p w14:paraId="65DAA2C1" w14:textId="77777777" w:rsidR="00B14BD5" w:rsidRPr="00B14BD5" w:rsidRDefault="00B14BD5" w:rsidP="00B14BD5"/>
    <w:p w14:paraId="02D8D830" w14:textId="6EBA1E49" w:rsidR="00A222C0" w:rsidRDefault="00F57B2F" w:rsidP="00A222C0">
      <w:pPr>
        <w:jc w:val="center"/>
        <w:rPr>
          <w:color w:val="000000" w:themeColor="text1"/>
        </w:rPr>
      </w:pPr>
      <w:r w:rsidRPr="00F57B2F">
        <w:rPr>
          <w:noProof/>
          <w:color w:val="000000" w:themeColor="text1"/>
        </w:rPr>
        <w:drawing>
          <wp:inline distT="0" distB="0" distL="0" distR="0" wp14:anchorId="7528BD18" wp14:editId="2611C5B4">
            <wp:extent cx="5162616" cy="3627620"/>
            <wp:effectExtent l="0" t="0" r="0" b="5080"/>
            <wp:docPr id="239772942"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72942" name="Picture 1" descr="A graph of different colored boxes&#10;&#10;AI-generated content may be incorrect."/>
                    <pic:cNvPicPr/>
                  </pic:nvPicPr>
                  <pic:blipFill>
                    <a:blip r:embed="rId9"/>
                    <a:stretch>
                      <a:fillRect/>
                    </a:stretch>
                  </pic:blipFill>
                  <pic:spPr>
                    <a:xfrm>
                      <a:off x="0" y="0"/>
                      <a:ext cx="5217440" cy="3666143"/>
                    </a:xfrm>
                    <a:prstGeom prst="rect">
                      <a:avLst/>
                    </a:prstGeom>
                  </pic:spPr>
                </pic:pic>
              </a:graphicData>
            </a:graphic>
          </wp:inline>
        </w:drawing>
      </w:r>
    </w:p>
    <w:p w14:paraId="53EA66E1" w14:textId="77777777" w:rsidR="00A222C0" w:rsidRDefault="00A222C0" w:rsidP="00A222C0">
      <w:pPr>
        <w:pStyle w:val="Caption"/>
        <w:rPr>
          <w:sz w:val="21"/>
          <w:szCs w:val="21"/>
        </w:rPr>
      </w:pPr>
      <w:r w:rsidRPr="0002461F">
        <w:rPr>
          <w:b/>
          <w:bCs/>
          <w:sz w:val="21"/>
          <w:szCs w:val="21"/>
        </w:rPr>
        <w:t xml:space="preserve">Figure </w:t>
      </w:r>
      <w:r w:rsidRPr="0002461F">
        <w:rPr>
          <w:b/>
          <w:bCs/>
          <w:sz w:val="21"/>
          <w:szCs w:val="21"/>
        </w:rPr>
        <w:fldChar w:fldCharType="begin"/>
      </w:r>
      <w:r w:rsidRPr="0002461F">
        <w:rPr>
          <w:b/>
          <w:bCs/>
          <w:sz w:val="21"/>
          <w:szCs w:val="21"/>
        </w:rPr>
        <w:instrText xml:space="preserve"> SEQ Figure \* ARABIC </w:instrText>
      </w:r>
      <w:r w:rsidRPr="0002461F">
        <w:rPr>
          <w:b/>
          <w:bCs/>
          <w:sz w:val="21"/>
          <w:szCs w:val="21"/>
        </w:rPr>
        <w:fldChar w:fldCharType="separate"/>
      </w:r>
      <w:r w:rsidRPr="0002461F">
        <w:rPr>
          <w:b/>
          <w:bCs/>
          <w:noProof/>
          <w:sz w:val="21"/>
          <w:szCs w:val="21"/>
        </w:rPr>
        <w:t>1</w:t>
      </w:r>
      <w:r w:rsidRPr="0002461F">
        <w:rPr>
          <w:b/>
          <w:bCs/>
          <w:sz w:val="21"/>
          <w:szCs w:val="21"/>
        </w:rPr>
        <w:fldChar w:fldCharType="end"/>
      </w:r>
      <w:r w:rsidRPr="0002461F">
        <w:rPr>
          <w:b/>
          <w:bCs/>
          <w:sz w:val="21"/>
          <w:szCs w:val="21"/>
        </w:rPr>
        <w:t>.</w:t>
      </w:r>
      <w:r w:rsidRPr="0002461F">
        <w:rPr>
          <w:sz w:val="21"/>
          <w:szCs w:val="21"/>
        </w:rPr>
        <w:t xml:space="preserve">  </w:t>
      </w:r>
      <w:r w:rsidRPr="00525D92">
        <w:rPr>
          <w:sz w:val="21"/>
          <w:szCs w:val="21"/>
        </w:rPr>
        <w:t>Distribution of treatment response measures at baseline (Year 0) and Year 2 following HAART initiation, stratified by baseline hard drug use. Boxplots display the median</w:t>
      </w:r>
      <w:r>
        <w:rPr>
          <w:sz w:val="21"/>
          <w:szCs w:val="21"/>
        </w:rPr>
        <w:t xml:space="preserve"> (black line)</w:t>
      </w:r>
      <w:r w:rsidRPr="00525D92">
        <w:rPr>
          <w:sz w:val="21"/>
          <w:szCs w:val="21"/>
        </w:rPr>
        <w:t xml:space="preserve"> and interquartile range, with points representing individual observations.</w:t>
      </w:r>
    </w:p>
    <w:p w14:paraId="62799D7B" w14:textId="5A9D9298" w:rsidR="00A222C0" w:rsidRPr="00CE691D" w:rsidRDefault="00A222C0" w:rsidP="00A222C0">
      <w:pPr>
        <w:pStyle w:val="Caption"/>
        <w:spacing w:line="480" w:lineRule="auto"/>
        <w:rPr>
          <w:i w:val="0"/>
          <w:iCs w:val="0"/>
          <w:color w:val="auto"/>
          <w:sz w:val="24"/>
          <w:szCs w:val="24"/>
        </w:rPr>
      </w:pPr>
      <w:r w:rsidRPr="00CE691D">
        <w:rPr>
          <w:i w:val="0"/>
          <w:iCs w:val="0"/>
          <w:color w:val="auto"/>
          <w:sz w:val="24"/>
          <w:szCs w:val="24"/>
        </w:rPr>
        <w:t>CD4+ T-cell counts increased from baseline to Year 2 in both groups. Participants reporting hard drug use at baseline generally exhibited slightly lower CD4 counts at both time points but with more variability at year 2. Viral load (</w:t>
      </w:r>
      <m:oMath>
        <m:sSub>
          <m:sSubPr>
            <m:ctrlPr>
              <w:rPr>
                <w:rFonts w:ascii="Cambria Math" w:eastAsiaTheme="minorHAnsi" w:hAnsi="Cambria Math"/>
                <w:i w:val="0"/>
                <w:color w:val="000000" w:themeColor="text1"/>
                <w:kern w:val="2"/>
                <w:sz w:val="24"/>
                <w:szCs w:val="24"/>
                <w14:ligatures w14:val="standardContextual"/>
              </w:rPr>
            </m:ctrlPr>
          </m:sSubPr>
          <m:e>
            <m:r>
              <m:rPr>
                <m:sty m:val="p"/>
              </m:rPr>
              <w:rPr>
                <w:rFonts w:ascii="Cambria Math" w:eastAsiaTheme="minorHAnsi" w:hAnsi="Cambria Math"/>
                <w:color w:val="000000" w:themeColor="text1"/>
                <w:kern w:val="2"/>
                <w:sz w:val="24"/>
                <w:szCs w:val="24"/>
                <w14:ligatures w14:val="standardContextual"/>
              </w:rPr>
              <m:t>log</m:t>
            </m:r>
          </m:e>
          <m:sub>
            <m:r>
              <m:rPr>
                <m:sty m:val="p"/>
              </m:rPr>
              <w:rPr>
                <w:rFonts w:ascii="Cambria Math" w:eastAsiaTheme="minorHAnsi" w:hAnsi="Cambria Math"/>
                <w:color w:val="000000" w:themeColor="text1"/>
                <w:kern w:val="2"/>
                <w:sz w:val="24"/>
                <w:szCs w:val="24"/>
                <w14:ligatures w14:val="standardContextual"/>
              </w:rPr>
              <m:t>10</m:t>
            </m:r>
            <m:r>
              <m:rPr>
                <m:sty m:val="p"/>
              </m:rPr>
              <w:rPr>
                <w:rFonts w:ascii="Cambria Math" w:eastAsiaTheme="minorHAnsi" w:hAnsi="Cambria Math"/>
                <w:color w:val="000000" w:themeColor="text1"/>
                <w:kern w:val="2"/>
                <w:sz w:val="24"/>
                <w:szCs w:val="24"/>
                <w14:ligatures w14:val="standardContextual"/>
              </w:rPr>
              <m:t xml:space="preserve"> </m:t>
            </m:r>
          </m:sub>
        </m:sSub>
      </m:oMath>
      <w:r w:rsidRPr="00CE691D">
        <w:rPr>
          <w:i w:val="0"/>
          <w:iCs w:val="0"/>
          <w:color w:val="auto"/>
          <w:sz w:val="24"/>
          <w:szCs w:val="24"/>
        </w:rPr>
        <w:t xml:space="preserve">copies/mL) declined substantially following treatment initiation in both groups. No apparent differences in viral load are visible at both time </w:t>
      </w:r>
      <w:r w:rsidRPr="00CE691D">
        <w:rPr>
          <w:i w:val="0"/>
          <w:iCs w:val="0"/>
          <w:color w:val="auto"/>
          <w:sz w:val="24"/>
          <w:szCs w:val="24"/>
        </w:rPr>
        <w:lastRenderedPageBreak/>
        <w:t>points. Physical and mental quality-of-life scores remained relatively stable over time with drug users typically reporting lower QOL scores across both time points.</w:t>
      </w:r>
    </w:p>
    <w:p w14:paraId="618660D7" w14:textId="0F45328F" w:rsidR="0002461F" w:rsidRPr="00216171" w:rsidRDefault="0002461F" w:rsidP="0002461F">
      <w:pPr>
        <w:pStyle w:val="Caption"/>
        <w:rPr>
          <w:sz w:val="21"/>
          <w:szCs w:val="21"/>
        </w:rPr>
      </w:pPr>
    </w:p>
    <w:p w14:paraId="13913BF6" w14:textId="673B7A84" w:rsidR="008447A9" w:rsidRPr="00BB21E2" w:rsidRDefault="003A17B1" w:rsidP="00BB21E2">
      <w:pPr>
        <w:spacing w:line="278" w:lineRule="auto"/>
        <w:rPr>
          <w:sz w:val="21"/>
          <w:szCs w:val="21"/>
        </w:rPr>
      </w:pPr>
      <w:r w:rsidRPr="003A17B1">
        <w:rPr>
          <w:noProof/>
          <w:sz w:val="21"/>
          <w:szCs w:val="21"/>
        </w:rPr>
        <w:drawing>
          <wp:inline distT="0" distB="0" distL="0" distR="0" wp14:anchorId="6FD80FD0" wp14:editId="4AC68C4D">
            <wp:extent cx="5943600" cy="2628265"/>
            <wp:effectExtent l="0" t="0" r="0" b="635"/>
            <wp:docPr id="2048136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36924" name="Picture 1" descr="A screenshot of a computer&#10;&#10;AI-generated content may be incorrect."/>
                    <pic:cNvPicPr/>
                  </pic:nvPicPr>
                  <pic:blipFill>
                    <a:blip r:embed="rId10"/>
                    <a:stretch>
                      <a:fillRect/>
                    </a:stretch>
                  </pic:blipFill>
                  <pic:spPr>
                    <a:xfrm>
                      <a:off x="0" y="0"/>
                      <a:ext cx="5943600" cy="2628265"/>
                    </a:xfrm>
                    <a:prstGeom prst="rect">
                      <a:avLst/>
                    </a:prstGeom>
                  </pic:spPr>
                </pic:pic>
              </a:graphicData>
            </a:graphic>
          </wp:inline>
        </w:drawing>
      </w:r>
    </w:p>
    <w:p w14:paraId="0788A548" w14:textId="2C112F85" w:rsidR="00F66C2A" w:rsidRPr="0037242C" w:rsidRDefault="00C56F37" w:rsidP="002C47EA">
      <w:pPr>
        <w:pStyle w:val="Caption"/>
        <w:contextualSpacing/>
        <w:rPr>
          <w:color w:val="000000" w:themeColor="text1"/>
          <w:sz w:val="21"/>
          <w:szCs w:val="21"/>
        </w:rPr>
      </w:pPr>
      <w:bookmarkStart w:id="4" w:name="_Ref220679981"/>
      <w:r w:rsidRPr="0037242C">
        <w:rPr>
          <w:b/>
          <w:bCs/>
          <w:color w:val="000000" w:themeColor="text1"/>
          <w:sz w:val="21"/>
          <w:szCs w:val="21"/>
        </w:rPr>
        <w:t xml:space="preserve">Table </w:t>
      </w:r>
      <w:r w:rsidRPr="0037242C">
        <w:rPr>
          <w:b/>
          <w:bCs/>
          <w:color w:val="000000" w:themeColor="text1"/>
          <w:sz w:val="21"/>
          <w:szCs w:val="21"/>
        </w:rPr>
        <w:fldChar w:fldCharType="begin"/>
      </w:r>
      <w:r w:rsidRPr="0037242C">
        <w:rPr>
          <w:b/>
          <w:bCs/>
          <w:color w:val="000000" w:themeColor="text1"/>
          <w:sz w:val="21"/>
          <w:szCs w:val="21"/>
        </w:rPr>
        <w:instrText xml:space="preserve"> SEQ Table \* ARABIC </w:instrText>
      </w:r>
      <w:r w:rsidRPr="0037242C">
        <w:rPr>
          <w:b/>
          <w:bCs/>
          <w:color w:val="000000" w:themeColor="text1"/>
          <w:sz w:val="21"/>
          <w:szCs w:val="21"/>
        </w:rPr>
        <w:fldChar w:fldCharType="separate"/>
      </w:r>
      <w:r w:rsidR="00812CD4" w:rsidRPr="0037242C">
        <w:rPr>
          <w:b/>
          <w:bCs/>
          <w:noProof/>
          <w:color w:val="000000" w:themeColor="text1"/>
          <w:sz w:val="21"/>
          <w:szCs w:val="21"/>
        </w:rPr>
        <w:t>2</w:t>
      </w:r>
      <w:r w:rsidRPr="0037242C">
        <w:rPr>
          <w:b/>
          <w:bCs/>
          <w:color w:val="000000" w:themeColor="text1"/>
          <w:sz w:val="21"/>
          <w:szCs w:val="21"/>
        </w:rPr>
        <w:fldChar w:fldCharType="end"/>
      </w:r>
      <w:bookmarkEnd w:id="4"/>
      <w:r w:rsidR="0011046D" w:rsidRPr="0037242C">
        <w:rPr>
          <w:b/>
          <w:bCs/>
          <w:color w:val="000000" w:themeColor="text1"/>
          <w:sz w:val="21"/>
          <w:szCs w:val="21"/>
        </w:rPr>
        <w:t>.</w:t>
      </w:r>
      <w:r w:rsidR="0011046D" w:rsidRPr="0037242C">
        <w:rPr>
          <w:color w:val="000000" w:themeColor="text1"/>
          <w:sz w:val="21"/>
          <w:szCs w:val="21"/>
        </w:rPr>
        <w:t> </w:t>
      </w:r>
      <w:r w:rsidR="001A5CDC" w:rsidRPr="0037242C">
        <w:rPr>
          <w:color w:val="000000" w:themeColor="text1"/>
          <w:sz w:val="21"/>
          <w:szCs w:val="21"/>
        </w:rPr>
        <w:t>Baseline and covariate adjusted</w:t>
      </w:r>
      <w:r w:rsidR="00F66C2A" w:rsidRPr="0037242C">
        <w:rPr>
          <w:color w:val="000000" w:themeColor="text1"/>
          <w:sz w:val="21"/>
          <w:szCs w:val="21"/>
        </w:rPr>
        <w:t xml:space="preserve"> differences in Year-2 treatment response between baseline hard drug users and non-users under Bayesian and frequentist regression frameworks. Estimates represent mean differences for each outcome</w:t>
      </w:r>
      <w:r w:rsidR="00151539" w:rsidRPr="0037242C">
        <w:rPr>
          <w:color w:val="000000" w:themeColor="text1"/>
          <w:sz w:val="21"/>
          <w:szCs w:val="21"/>
        </w:rPr>
        <w:t xml:space="preserve">. </w:t>
      </w:r>
      <w:r w:rsidR="008D5E84" w:rsidRPr="0037242C">
        <w:rPr>
          <w:color w:val="000000" w:themeColor="text1"/>
          <w:sz w:val="21"/>
          <w:szCs w:val="21"/>
        </w:rPr>
        <w:t>Bayesian h</w:t>
      </w:r>
      <w:r w:rsidR="00F66C2A" w:rsidRPr="0037242C">
        <w:rPr>
          <w:color w:val="000000" w:themeColor="text1"/>
          <w:sz w:val="21"/>
          <w:szCs w:val="21"/>
        </w:rPr>
        <w:t>ighest density intervals (</w:t>
      </w:r>
      <w:r w:rsidR="008D5E84" w:rsidRPr="0037242C">
        <w:rPr>
          <w:color w:val="000000" w:themeColor="text1"/>
          <w:sz w:val="21"/>
          <w:szCs w:val="21"/>
        </w:rPr>
        <w:t>HDI</w:t>
      </w:r>
      <w:r w:rsidR="00F66C2A" w:rsidRPr="0037242C">
        <w:rPr>
          <w:color w:val="000000" w:themeColor="text1"/>
          <w:sz w:val="21"/>
          <w:szCs w:val="21"/>
        </w:rPr>
        <w:t xml:space="preserve">) </w:t>
      </w:r>
      <w:r w:rsidR="008D5E84" w:rsidRPr="0037242C">
        <w:rPr>
          <w:color w:val="000000" w:themeColor="text1"/>
          <w:sz w:val="21"/>
          <w:szCs w:val="21"/>
        </w:rPr>
        <w:t xml:space="preserve"> and frequentist confidence intervals (CI) </w:t>
      </w:r>
      <w:r w:rsidR="00F66C2A" w:rsidRPr="0037242C">
        <w:rPr>
          <w:color w:val="000000" w:themeColor="text1"/>
          <w:sz w:val="21"/>
          <w:szCs w:val="21"/>
        </w:rPr>
        <w:t>are reported alongside model-based estimate</w:t>
      </w:r>
      <w:r w:rsidR="00376247" w:rsidRPr="0037242C">
        <w:rPr>
          <w:color w:val="000000" w:themeColor="text1"/>
          <w:sz w:val="21"/>
          <w:szCs w:val="21"/>
        </w:rPr>
        <w:t>s.</w:t>
      </w:r>
    </w:p>
    <w:p w14:paraId="1515D302" w14:textId="7F04154D" w:rsidR="0028788D" w:rsidRPr="002A1760" w:rsidRDefault="0028788D" w:rsidP="0028788D">
      <w:pPr>
        <w:spacing w:before="100" w:beforeAutospacing="1" w:after="100" w:afterAutospacing="1" w:line="480" w:lineRule="auto"/>
      </w:pPr>
      <w:r w:rsidRPr="002A1760">
        <w:t>Baseline hard drug use was associated with significantly lower CD4 counts at Year 2. The posterior median adjusted difference was −164 cells/mm³ (95% HDI:</w:t>
      </w:r>
      <w:r w:rsidR="00217A92">
        <w:t xml:space="preserve"> </w:t>
      </w:r>
      <w:r w:rsidRPr="002A1760">
        <w:t>−263 to −103</w:t>
      </w:r>
      <w:r w:rsidR="00785CB9">
        <w:t xml:space="preserve">; </w:t>
      </w:r>
      <w:r w:rsidR="00053C01" w:rsidRPr="00CE691D">
        <w:rPr>
          <w:rFonts w:eastAsiaTheme="minorHAnsi"/>
          <w:color w:val="000000" w:themeColor="text1"/>
          <w:kern w:val="2"/>
          <w14:ligatures w14:val="standardContextual"/>
        </w:rPr>
        <w:t>R̂=1.00, ESS=</w:t>
      </w:r>
      <w:r w:rsidR="00053C01">
        <w:rPr>
          <w:rFonts w:eastAsiaTheme="minorHAnsi"/>
          <w:color w:val="000000" w:themeColor="text1"/>
          <w:kern w:val="2"/>
          <w14:ligatures w14:val="standardContextual"/>
        </w:rPr>
        <w:t>6929</w:t>
      </w:r>
      <w:r w:rsidR="00217A92">
        <w:t>)</w:t>
      </w:r>
      <w:r w:rsidRPr="002A1760">
        <w:t>, with posterior probability of a negative effect</w:t>
      </w:r>
      <w:r w:rsidR="00217A92">
        <w:t xml:space="preserve"> </w:t>
      </w:r>
      <w:r w:rsidR="00707168">
        <w:t>(</w:t>
      </w:r>
      <w:r w:rsidR="00217A92">
        <w:t>Pr(</w:t>
      </w:r>
      <w:r w:rsidR="00217A92">
        <w:rPr>
          <w:lang w:val="el-GR"/>
        </w:rPr>
        <w:t>β</w:t>
      </w:r>
      <w:r w:rsidR="00217A92" w:rsidRPr="00217A92">
        <w:t>&lt;0</w:t>
      </w:r>
      <w:r w:rsidR="00707168">
        <w:t>)</w:t>
      </w:r>
      <w:r w:rsidR="00E637E7">
        <w:t>]</w:t>
      </w:r>
      <w:r w:rsidRPr="002A1760">
        <w:t xml:space="preserve"> </w:t>
      </w:r>
      <w:r w:rsidR="00217A92">
        <w:t>was approximately 100%</w:t>
      </w:r>
      <w:r w:rsidRPr="002A1760">
        <w:t>. The probability that this exceeded the prespecified clinically meaningful threshold of 50 cells/mm³ was 99.5%</w:t>
      </w:r>
      <w:r w:rsidR="00B80D60">
        <w:t>.</w:t>
      </w:r>
    </w:p>
    <w:p w14:paraId="7A0A36CA" w14:textId="75B591A9" w:rsidR="009E2542" w:rsidRPr="002A1760" w:rsidRDefault="009E2542" w:rsidP="009E2542">
      <w:pPr>
        <w:spacing w:before="100" w:beforeAutospacing="1" w:after="100" w:afterAutospacing="1" w:line="480" w:lineRule="auto"/>
      </w:pPr>
      <w:r w:rsidRPr="002A1760">
        <w:t>No meaningful difference in viral load was observed</w:t>
      </w:r>
      <w:r w:rsidR="004F7D42">
        <w:t xml:space="preserve"> </w:t>
      </w:r>
      <w:r w:rsidR="00707168">
        <w:t>(</w:t>
      </w:r>
      <w:r w:rsidR="004F7D42" w:rsidRPr="00CE691D">
        <w:rPr>
          <w:rFonts w:eastAsiaTheme="minorHAnsi"/>
          <w:color w:val="000000" w:themeColor="text1"/>
          <w:kern w:val="2"/>
          <w14:ligatures w14:val="standardContextual"/>
        </w:rPr>
        <w:t>P(β&gt;0)=49.3%)</w:t>
      </w:r>
      <w:r w:rsidR="00707168">
        <w:t>)</w:t>
      </w:r>
      <w:r w:rsidRPr="002A1760">
        <w:t xml:space="preserve">. The posterior median difference was approximately −0.1 </w:t>
      </w:r>
      <m:oMath>
        <m:sSub>
          <m:sSubPr>
            <m:ctrlPr>
              <w:rPr>
                <w:rFonts w:ascii="Cambria Math" w:eastAsiaTheme="minorHAnsi" w:hAnsi="Cambria Math"/>
                <w:i/>
                <w:color w:val="000000" w:themeColor="text1"/>
                <w:kern w:val="2"/>
                <w14:ligatures w14:val="standardContextual"/>
              </w:rPr>
            </m:ctrlPr>
          </m:sSubPr>
          <m:e>
            <m:r>
              <w:rPr>
                <w:rFonts w:ascii="Cambria Math" w:eastAsiaTheme="minorHAnsi" w:hAnsi="Cambria Math"/>
                <w:color w:val="000000" w:themeColor="text1"/>
                <w:kern w:val="2"/>
                <w14:ligatures w14:val="standardContextual"/>
              </w:rPr>
              <m:t>log</m:t>
            </m:r>
          </m:e>
          <m:sub>
            <m:r>
              <w:rPr>
                <w:rFonts w:ascii="Cambria Math" w:eastAsiaTheme="minorHAnsi" w:hAnsi="Cambria Math"/>
                <w:color w:val="000000" w:themeColor="text1"/>
                <w:kern w:val="2"/>
                <w14:ligatures w14:val="standardContextual"/>
              </w:rPr>
              <m:t>10</m:t>
            </m:r>
          </m:sub>
        </m:sSub>
        <m:r>
          <w:rPr>
            <w:rFonts w:ascii="Cambria Math" w:eastAsiaTheme="minorHAnsi" w:hAnsi="Cambria Math"/>
            <w:color w:val="000000" w:themeColor="text1"/>
            <w:kern w:val="2"/>
            <w14:ligatures w14:val="standardContextual"/>
          </w:rPr>
          <m:t xml:space="preserve"> </m:t>
        </m:r>
      </m:oMath>
      <w:r w:rsidRPr="002A1760">
        <w:t>copies/mL (95% HDI: −0.5 to 0.4</w:t>
      </w:r>
      <w:r w:rsidR="00EA657B" w:rsidRPr="00CE691D">
        <w:rPr>
          <w:rFonts w:eastAsiaTheme="minorHAnsi"/>
          <w:color w:val="000000" w:themeColor="text1"/>
          <w:kern w:val="2"/>
          <w14:ligatures w14:val="standardContextual"/>
        </w:rPr>
        <w:t>; R̂=1.00, ESS=8267</w:t>
      </w:r>
      <w:r w:rsidRPr="002A1760">
        <w:t xml:space="preserve">), and the probability of exceeding the clinical threshold of 0.5 </w:t>
      </w:r>
      <m:oMath>
        <m:sSub>
          <m:sSubPr>
            <m:ctrlPr>
              <w:rPr>
                <w:rFonts w:ascii="Cambria Math" w:eastAsiaTheme="minorHAnsi" w:hAnsi="Cambria Math"/>
                <w:i/>
                <w:color w:val="000000" w:themeColor="text1"/>
                <w:kern w:val="2"/>
                <w14:ligatures w14:val="standardContextual"/>
              </w:rPr>
            </m:ctrlPr>
          </m:sSubPr>
          <m:e>
            <m:r>
              <w:rPr>
                <w:rFonts w:ascii="Cambria Math" w:eastAsiaTheme="minorHAnsi" w:hAnsi="Cambria Math"/>
                <w:color w:val="000000" w:themeColor="text1"/>
                <w:kern w:val="2"/>
                <w14:ligatures w14:val="standardContextual"/>
              </w:rPr>
              <m:t>log</m:t>
            </m:r>
          </m:e>
          <m:sub>
            <m:r>
              <w:rPr>
                <w:rFonts w:ascii="Cambria Math" w:eastAsiaTheme="minorHAnsi" w:hAnsi="Cambria Math"/>
                <w:color w:val="000000" w:themeColor="text1"/>
                <w:kern w:val="2"/>
                <w14:ligatures w14:val="standardContextual"/>
              </w:rPr>
              <m:t>10</m:t>
            </m:r>
          </m:sub>
        </m:sSub>
        <m:r>
          <w:rPr>
            <w:rFonts w:ascii="Cambria Math" w:eastAsiaTheme="minorHAnsi" w:hAnsi="Cambria Math"/>
            <w:color w:val="000000" w:themeColor="text1"/>
            <w:kern w:val="2"/>
            <w14:ligatures w14:val="standardContextual"/>
          </w:rPr>
          <m:t xml:space="preserve"> </m:t>
        </m:r>
      </m:oMath>
      <w:r w:rsidRPr="002A1760">
        <w:t xml:space="preserve">copies/mL was </w:t>
      </w:r>
      <w:r w:rsidR="00950BF3">
        <w:t>2.3%</w:t>
      </w:r>
      <w:r w:rsidR="00B80D60">
        <w:t>.</w:t>
      </w:r>
    </w:p>
    <w:p w14:paraId="1646771A" w14:textId="5820B9C7" w:rsidR="00B30D19" w:rsidRDefault="00B30D19" w:rsidP="00B30D19">
      <w:pPr>
        <w:spacing w:before="100" w:beforeAutospacing="1" w:after="100" w:afterAutospacing="1" w:line="480" w:lineRule="auto"/>
        <w:rPr>
          <w:rFonts w:eastAsiaTheme="minorHAnsi"/>
          <w:color w:val="000000" w:themeColor="text1"/>
          <w:kern w:val="2"/>
          <w14:ligatures w14:val="standardContextual"/>
        </w:rPr>
      </w:pPr>
      <w:r w:rsidRPr="002A1760">
        <w:lastRenderedPageBreak/>
        <w:t>Hard drug use was associated with modestly lower physical QOL at Year 2 (−3.3 points; 95% HDI: −6.0 to −0.6</w:t>
      </w:r>
      <w:r w:rsidR="00533B5E">
        <w:t xml:space="preserve">; </w:t>
      </w:r>
      <w:r w:rsidR="00533B5E" w:rsidRPr="00CE691D">
        <w:rPr>
          <w:rFonts w:eastAsiaTheme="minorHAnsi"/>
          <w:color w:val="000000" w:themeColor="text1"/>
          <w:kern w:val="2"/>
          <w14:ligatures w14:val="standardContextual"/>
        </w:rPr>
        <w:t>R̂=1.00, ESS=8267</w:t>
      </w:r>
      <w:r w:rsidRPr="002A1760">
        <w:t>). The posterior probability that this exceeded the prespecified 2-point clinical threshold</w:t>
      </w:r>
      <w:r w:rsidR="008A0BA6">
        <w:t xml:space="preserve"> </w:t>
      </w:r>
      <w:r w:rsidRPr="002A1760">
        <w:t xml:space="preserve">was 83%. No evidence of association was observed for mental </w:t>
      </w:r>
      <w:r w:rsidR="007F1310" w:rsidRPr="002A1760">
        <w:t>QOL,</w:t>
      </w:r>
      <w:r w:rsidR="000B2952">
        <w:t xml:space="preserve"> </w:t>
      </w:r>
      <w:r w:rsidR="008A0BA6">
        <w:t>and posterior probability</w:t>
      </w:r>
      <w:r w:rsidR="005A02BB">
        <w:t xml:space="preserve"> of exceeding 2-points was </w:t>
      </w:r>
      <w:r w:rsidR="005A02BB">
        <w:rPr>
          <w:rFonts w:eastAsiaTheme="minorHAnsi"/>
          <w:color w:val="000000" w:themeColor="text1"/>
          <w:kern w:val="2"/>
          <w14:ligatures w14:val="standardContextual"/>
        </w:rPr>
        <w:t>26%.</w:t>
      </w:r>
    </w:p>
    <w:p w14:paraId="3649FEFB" w14:textId="21A8A94C" w:rsidR="00E3018A" w:rsidRDefault="00E3018A" w:rsidP="00B30D19">
      <w:pPr>
        <w:spacing w:before="100" w:beforeAutospacing="1" w:after="100" w:afterAutospacing="1" w:line="480" w:lineRule="auto"/>
        <w:rPr>
          <w:rFonts w:eastAsiaTheme="minorHAnsi"/>
          <w:color w:val="000000" w:themeColor="text1"/>
          <w:kern w:val="2"/>
          <w14:ligatures w14:val="standardContextual"/>
        </w:rPr>
      </w:pPr>
      <w:r w:rsidRPr="00E3018A">
        <w:rPr>
          <w:rFonts w:eastAsiaTheme="minorHAnsi"/>
          <w:color w:val="000000" w:themeColor="text1"/>
          <w:kern w:val="2"/>
          <w14:ligatures w14:val="standardContextual"/>
        </w:rPr>
        <w:t>Differences in WAIC greater than</w:t>
      </w:r>
      <w:r>
        <w:rPr>
          <w:rFonts w:eastAsiaTheme="minorHAnsi"/>
          <w:color w:val="000000" w:themeColor="text1"/>
          <w:kern w:val="2"/>
          <w14:ligatures w14:val="standardContextual"/>
        </w:rPr>
        <w:t xml:space="preserve"> three</w:t>
      </w:r>
      <w:r w:rsidRPr="00E3018A">
        <w:rPr>
          <w:rFonts w:eastAsiaTheme="minorHAnsi"/>
          <w:color w:val="000000" w:themeColor="text1"/>
          <w:kern w:val="2"/>
          <w14:ligatures w14:val="standardContextual"/>
        </w:rPr>
        <w:t xml:space="preserve"> are generally considered strong evidence of </w:t>
      </w:r>
      <w:r>
        <w:rPr>
          <w:rFonts w:eastAsiaTheme="minorHAnsi"/>
          <w:color w:val="000000" w:themeColor="text1"/>
          <w:kern w:val="2"/>
          <w14:ligatures w14:val="standardContextual"/>
        </w:rPr>
        <w:t>a better fitting model</w:t>
      </w:r>
      <w:r w:rsidRPr="00E3018A">
        <w:rPr>
          <w:rFonts w:eastAsiaTheme="minorHAnsi"/>
          <w:color w:val="000000" w:themeColor="text1"/>
          <w:kern w:val="2"/>
          <w14:ligatures w14:val="standardContextual"/>
        </w:rPr>
        <w:t xml:space="preserve">. The large WAIC reduction for CD4 indicates meaningful added predictive value of hard drug use, whereas WAIC differences for other outcomes were </w:t>
      </w:r>
      <w:r>
        <w:rPr>
          <w:rFonts w:eastAsiaTheme="minorHAnsi"/>
          <w:color w:val="000000" w:themeColor="text1"/>
          <w:kern w:val="2"/>
          <w14:ligatures w14:val="standardContextual"/>
        </w:rPr>
        <w:t>smaller</w:t>
      </w:r>
      <w:r w:rsidRPr="00E3018A">
        <w:rPr>
          <w:rFonts w:eastAsiaTheme="minorHAnsi"/>
          <w:color w:val="000000" w:themeColor="text1"/>
          <w:kern w:val="2"/>
          <w14:ligatures w14:val="standardContextual"/>
        </w:rPr>
        <w:t xml:space="preserve"> </w:t>
      </w:r>
      <w:r>
        <w:rPr>
          <w:rFonts w:eastAsiaTheme="minorHAnsi"/>
          <w:color w:val="000000" w:themeColor="text1"/>
          <w:kern w:val="2"/>
          <w14:ligatures w14:val="standardContextual"/>
        </w:rPr>
        <w:t>and provided weaker evidence of better fit</w:t>
      </w:r>
      <w:r w:rsidRPr="00E3018A">
        <w:rPr>
          <w:rFonts w:eastAsiaTheme="minorHAnsi"/>
          <w:color w:val="000000" w:themeColor="text1"/>
          <w:kern w:val="2"/>
          <w14:ligatures w14:val="standardContextual"/>
        </w:rPr>
        <w:t>.</w:t>
      </w:r>
    </w:p>
    <w:p w14:paraId="4E4F7E18" w14:textId="7FDCAD83" w:rsidR="00365A75" w:rsidRPr="002A1760" w:rsidRDefault="00D91ABC" w:rsidP="00365A75">
      <w:pPr>
        <w:spacing w:before="100" w:beforeAutospacing="1" w:after="100" w:afterAutospacing="1" w:line="480" w:lineRule="auto"/>
      </w:pPr>
      <w:r>
        <w:t>Trace plots,</w:t>
      </w:r>
      <w:r w:rsidRPr="00D91ABC">
        <w:rPr>
          <w:rFonts w:eastAsiaTheme="minorHAnsi"/>
          <w:color w:val="000000" w:themeColor="text1"/>
          <w:kern w:val="2"/>
          <w14:ligatures w14:val="standardContextual"/>
        </w:rPr>
        <w:t xml:space="preserve"> </w:t>
      </w:r>
      <w:r w:rsidRPr="00CE691D">
        <w:rPr>
          <w:rFonts w:eastAsiaTheme="minorHAnsi"/>
          <w:color w:val="000000" w:themeColor="text1"/>
          <w:kern w:val="2"/>
          <w14:ligatures w14:val="standardContextual"/>
        </w:rPr>
        <w:t>R̂</w:t>
      </w:r>
      <w:r>
        <w:rPr>
          <w:rFonts w:eastAsiaTheme="minorHAnsi"/>
          <w:color w:val="000000" w:themeColor="text1"/>
          <w:kern w:val="2"/>
          <w14:ligatures w14:val="standardContextual"/>
        </w:rPr>
        <w:t xml:space="preserve"> statistics and ESS all demonstrated good mixing and convergence </w:t>
      </w:r>
      <w:r w:rsidR="008E671F">
        <w:rPr>
          <w:rFonts w:eastAsiaTheme="minorHAnsi"/>
          <w:color w:val="000000" w:themeColor="text1"/>
          <w:kern w:val="2"/>
          <w14:ligatures w14:val="standardContextual"/>
        </w:rPr>
        <w:t>criteria</w:t>
      </w:r>
      <w:r>
        <w:rPr>
          <w:rFonts w:eastAsiaTheme="minorHAnsi"/>
          <w:color w:val="000000" w:themeColor="text1"/>
          <w:kern w:val="2"/>
          <w14:ligatures w14:val="standardContextual"/>
        </w:rPr>
        <w:t xml:space="preserve"> (</w:t>
      </w:r>
      <w:hyperlink w:anchor="_Supplementary" w:history="1">
        <w:r w:rsidRPr="008E671F">
          <w:rPr>
            <w:rStyle w:val="Hyperlink"/>
            <w:rFonts w:eastAsiaTheme="minorHAnsi"/>
            <w:kern w:val="2"/>
            <w14:ligatures w14:val="standardContextual"/>
          </w:rPr>
          <w:t>supplementary</w:t>
        </w:r>
      </w:hyperlink>
      <w:r>
        <w:rPr>
          <w:rFonts w:eastAsiaTheme="minorHAnsi"/>
          <w:color w:val="000000" w:themeColor="text1"/>
          <w:kern w:val="2"/>
          <w14:ligatures w14:val="standardContextual"/>
        </w:rPr>
        <w:t>).</w:t>
      </w:r>
      <w:r>
        <w:t xml:space="preserve"> </w:t>
      </w:r>
      <w:r w:rsidR="00365A75" w:rsidRPr="002A1760">
        <w:t xml:space="preserve">Frequentist estimates were consistent in </w:t>
      </w:r>
      <w:r w:rsidR="00C94922">
        <w:t>effect sizes</w:t>
      </w:r>
      <w:r w:rsidR="00365A75" w:rsidRPr="002A1760">
        <w:t xml:space="preserve"> and direction with Bayesian results.</w:t>
      </w:r>
    </w:p>
    <w:p w14:paraId="09DCDAB2" w14:textId="728F5C8A" w:rsidR="00FA7D62" w:rsidRPr="00FA7D62" w:rsidRDefault="00FA7D62" w:rsidP="00FA7D62">
      <w:pPr>
        <w:pStyle w:val="Heading4"/>
      </w:pPr>
      <w:r w:rsidRPr="00FA7D62">
        <w:t>3.</w:t>
      </w:r>
      <w:r w:rsidR="00981E09">
        <w:t>2</w:t>
      </w:r>
      <w:r w:rsidRPr="00FA7D62">
        <w:t xml:space="preserve"> </w:t>
      </w:r>
      <w:r w:rsidR="00981E09">
        <w:t xml:space="preserve">Mediation </w:t>
      </w:r>
    </w:p>
    <w:p w14:paraId="514E843E" w14:textId="77777777" w:rsidR="003E0C04" w:rsidRDefault="003E0C04" w:rsidP="003E0C04">
      <w:pPr>
        <w:rPr>
          <w:color w:val="000000" w:themeColor="text1"/>
        </w:rPr>
      </w:pPr>
    </w:p>
    <w:p w14:paraId="7912907B" w14:textId="77777777" w:rsidR="001F732D" w:rsidRDefault="001F732D" w:rsidP="001F732D">
      <w:pPr>
        <w:contextualSpacing/>
        <w:jc w:val="center"/>
      </w:pPr>
      <w:r w:rsidRPr="001F732D">
        <w:rPr>
          <w:noProof/>
        </w:rPr>
        <w:drawing>
          <wp:inline distT="0" distB="0" distL="0" distR="0" wp14:anchorId="555AAA6B" wp14:editId="1248AF21">
            <wp:extent cx="5943600" cy="2755900"/>
            <wp:effectExtent l="0" t="0" r="0" b="0"/>
            <wp:docPr id="519790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1299" name="Picture 1" descr="A screenshot of a computer&#10;&#10;AI-generated content may be incorrect."/>
                    <pic:cNvPicPr/>
                  </pic:nvPicPr>
                  <pic:blipFill>
                    <a:blip r:embed="rId11"/>
                    <a:stretch>
                      <a:fillRect/>
                    </a:stretch>
                  </pic:blipFill>
                  <pic:spPr>
                    <a:xfrm>
                      <a:off x="0" y="0"/>
                      <a:ext cx="5943600" cy="2755900"/>
                    </a:xfrm>
                    <a:prstGeom prst="rect">
                      <a:avLst/>
                    </a:prstGeom>
                  </pic:spPr>
                </pic:pic>
              </a:graphicData>
            </a:graphic>
          </wp:inline>
        </w:drawing>
      </w:r>
    </w:p>
    <w:p w14:paraId="583DC926" w14:textId="2CCC05BF" w:rsidR="001F732D" w:rsidRPr="0037242C" w:rsidRDefault="001F732D" w:rsidP="001F732D">
      <w:pPr>
        <w:pStyle w:val="Caption"/>
        <w:rPr>
          <w:color w:val="000000" w:themeColor="text1"/>
          <w:sz w:val="21"/>
          <w:szCs w:val="21"/>
        </w:rPr>
      </w:pPr>
      <w:r w:rsidRPr="0037242C">
        <w:rPr>
          <w:b/>
          <w:bCs/>
          <w:color w:val="000000" w:themeColor="text1"/>
          <w:sz w:val="21"/>
          <w:szCs w:val="21"/>
        </w:rPr>
        <w:t xml:space="preserve">Table </w:t>
      </w:r>
      <w:r w:rsidRPr="0037242C">
        <w:rPr>
          <w:b/>
          <w:bCs/>
          <w:color w:val="000000" w:themeColor="text1"/>
          <w:sz w:val="21"/>
          <w:szCs w:val="21"/>
        </w:rPr>
        <w:fldChar w:fldCharType="begin"/>
      </w:r>
      <w:r w:rsidRPr="0037242C">
        <w:rPr>
          <w:b/>
          <w:bCs/>
          <w:color w:val="000000" w:themeColor="text1"/>
          <w:sz w:val="21"/>
          <w:szCs w:val="21"/>
        </w:rPr>
        <w:instrText xml:space="preserve"> SEQ Table \* ARABIC </w:instrText>
      </w:r>
      <w:r w:rsidRPr="0037242C">
        <w:rPr>
          <w:b/>
          <w:bCs/>
          <w:color w:val="000000" w:themeColor="text1"/>
          <w:sz w:val="21"/>
          <w:szCs w:val="21"/>
        </w:rPr>
        <w:fldChar w:fldCharType="separate"/>
      </w:r>
      <w:r w:rsidRPr="0037242C">
        <w:rPr>
          <w:b/>
          <w:bCs/>
          <w:noProof/>
          <w:color w:val="000000" w:themeColor="text1"/>
          <w:sz w:val="21"/>
          <w:szCs w:val="21"/>
        </w:rPr>
        <w:t>3</w:t>
      </w:r>
      <w:r w:rsidRPr="0037242C">
        <w:rPr>
          <w:b/>
          <w:bCs/>
          <w:color w:val="000000" w:themeColor="text1"/>
          <w:sz w:val="21"/>
          <w:szCs w:val="21"/>
        </w:rPr>
        <w:fldChar w:fldCharType="end"/>
      </w:r>
      <w:r w:rsidRPr="0037242C">
        <w:rPr>
          <w:color w:val="000000" w:themeColor="text1"/>
          <w:sz w:val="21"/>
          <w:szCs w:val="21"/>
        </w:rPr>
        <w:t>. Association of hard drug use with clinical and quality-of-life outcomes, with and without adjustment for adherence (ADH), and estimated proportion mediated</w:t>
      </w:r>
      <w:r w:rsidR="00DA7AF0" w:rsidRPr="0037242C">
        <w:rPr>
          <w:color w:val="000000" w:themeColor="text1"/>
          <w:sz w:val="21"/>
          <w:szCs w:val="21"/>
        </w:rPr>
        <w:t xml:space="preserve">. </w:t>
      </w:r>
    </w:p>
    <w:p w14:paraId="43357AB7" w14:textId="77777777" w:rsidR="00465F1F" w:rsidRDefault="00465F1F" w:rsidP="003E0C04">
      <w:pPr>
        <w:rPr>
          <w:color w:val="000000" w:themeColor="text1"/>
        </w:rPr>
      </w:pPr>
    </w:p>
    <w:p w14:paraId="21FD1A01" w14:textId="0CB86B43" w:rsidR="00190FCC" w:rsidRPr="003E0C04" w:rsidRDefault="0065039D" w:rsidP="00E3018A">
      <w:pPr>
        <w:spacing w:before="100" w:beforeAutospacing="1" w:after="100" w:afterAutospacing="1" w:line="480" w:lineRule="auto"/>
      </w:pPr>
      <w:r w:rsidRPr="002A1760">
        <w:lastRenderedPageBreak/>
        <w:t>For all outcomes, inclusion of adherence slightly increased the magnitude of the hard drug use coefficient, resulting in negative proportions mediated. Bayesian posterior intervals for the proportion mediated included zero across outcomes, and posterior probabilities that the mediated proportion was positive were near 0.5</w:t>
      </w:r>
      <w:r>
        <w:t>, except for mental QOL</w:t>
      </w:r>
      <w:r w:rsidRPr="002A1760">
        <w:t>. These findings indicate inconsistent mediation (suppression) and provide little evidence that adherence mediates the relationship between baseline hard drug use and treatment outcomes.</w:t>
      </w:r>
    </w:p>
    <w:p w14:paraId="3B1F7D56" w14:textId="0DA2469B" w:rsidR="00FA7D62" w:rsidRDefault="00FA7D62" w:rsidP="003E0C04">
      <w:pPr>
        <w:pStyle w:val="Heading4"/>
        <w:contextualSpacing/>
      </w:pPr>
      <w:r w:rsidRPr="00FA7D62">
        <w:t>3.</w:t>
      </w:r>
      <w:r w:rsidR="00082864">
        <w:t>3</w:t>
      </w:r>
      <w:r w:rsidRPr="00FA7D62">
        <w:t xml:space="preserve"> </w:t>
      </w:r>
      <w:r w:rsidR="00981E09">
        <w:t xml:space="preserve">Loss to Follow-up </w:t>
      </w:r>
    </w:p>
    <w:p w14:paraId="53676747" w14:textId="77777777" w:rsidR="008A0852" w:rsidRDefault="008A0852" w:rsidP="008A0852"/>
    <w:p w14:paraId="088310E3" w14:textId="19C3E350" w:rsidR="00E45B40" w:rsidRDefault="00197EBE" w:rsidP="00812CD4">
      <w:pPr>
        <w:pStyle w:val="Caption"/>
        <w:rPr>
          <w:sz w:val="21"/>
          <w:szCs w:val="21"/>
        </w:rPr>
      </w:pPr>
      <w:r w:rsidRPr="00197EBE">
        <w:rPr>
          <w:sz w:val="21"/>
          <w:szCs w:val="21"/>
        </w:rPr>
        <w:drawing>
          <wp:inline distT="0" distB="0" distL="0" distR="0" wp14:anchorId="0AF43913" wp14:editId="2174A8DF">
            <wp:extent cx="5943600" cy="3297555"/>
            <wp:effectExtent l="0" t="0" r="0" b="4445"/>
            <wp:docPr id="3012051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05187" name="Picture 1" descr="A screenshot of a computer&#10;&#10;AI-generated content may be incorrect."/>
                    <pic:cNvPicPr/>
                  </pic:nvPicPr>
                  <pic:blipFill>
                    <a:blip r:embed="rId12"/>
                    <a:stretch>
                      <a:fillRect/>
                    </a:stretch>
                  </pic:blipFill>
                  <pic:spPr>
                    <a:xfrm>
                      <a:off x="0" y="0"/>
                      <a:ext cx="5943600" cy="3297555"/>
                    </a:xfrm>
                    <a:prstGeom prst="rect">
                      <a:avLst/>
                    </a:prstGeom>
                  </pic:spPr>
                </pic:pic>
              </a:graphicData>
            </a:graphic>
          </wp:inline>
        </w:drawing>
      </w:r>
    </w:p>
    <w:p w14:paraId="31C933B7" w14:textId="2695A6B2" w:rsidR="00026395" w:rsidRPr="00EE61A8" w:rsidRDefault="00026395" w:rsidP="00026395">
      <w:pPr>
        <w:pStyle w:val="Caption"/>
        <w:rPr>
          <w:color w:val="000000" w:themeColor="text1"/>
          <w:sz w:val="21"/>
          <w:szCs w:val="21"/>
        </w:rPr>
      </w:pPr>
      <w:r w:rsidRPr="00EE61A8">
        <w:rPr>
          <w:b/>
          <w:bCs/>
          <w:color w:val="000000" w:themeColor="text1"/>
          <w:sz w:val="21"/>
          <w:szCs w:val="21"/>
        </w:rPr>
        <w:t>Table 4</w:t>
      </w:r>
      <w:r w:rsidRPr="00EE61A8">
        <w:rPr>
          <w:color w:val="000000" w:themeColor="text1"/>
          <w:sz w:val="21"/>
          <w:szCs w:val="21"/>
        </w:rPr>
        <w:t>. </w:t>
      </w:r>
      <w:r w:rsidR="0037242C">
        <w:rPr>
          <w:color w:val="000000" w:themeColor="text1"/>
          <w:sz w:val="21"/>
          <w:szCs w:val="21"/>
        </w:rPr>
        <w:t xml:space="preserve">Baseline </w:t>
      </w:r>
      <w:r w:rsidRPr="00EE61A8">
        <w:rPr>
          <w:color w:val="000000" w:themeColor="text1"/>
          <w:sz w:val="21"/>
          <w:szCs w:val="21"/>
        </w:rPr>
        <w:t>clinical and quality-of-life measures between participants</w:t>
      </w:r>
      <w:r w:rsidR="0037242C">
        <w:rPr>
          <w:color w:val="000000" w:themeColor="text1"/>
          <w:sz w:val="21"/>
          <w:szCs w:val="21"/>
        </w:rPr>
        <w:t xml:space="preserve"> by follow-up status, stratified by baseline hard drug use.</w:t>
      </w:r>
      <w:r w:rsidRPr="00EE61A8">
        <w:rPr>
          <w:color w:val="000000" w:themeColor="text1"/>
          <w:sz w:val="21"/>
          <w:szCs w:val="21"/>
        </w:rPr>
        <w:t xml:space="preserve"> </w:t>
      </w:r>
      <w:r w:rsidR="0037242C">
        <w:rPr>
          <w:color w:val="000000" w:themeColor="text1"/>
          <w:sz w:val="21"/>
          <w:szCs w:val="21"/>
        </w:rPr>
        <w:t xml:space="preserve">Participants </w:t>
      </w:r>
      <w:r w:rsidRPr="00EE61A8">
        <w:rPr>
          <w:color w:val="000000" w:themeColor="text1"/>
          <w:sz w:val="21"/>
          <w:szCs w:val="21"/>
        </w:rPr>
        <w:t xml:space="preserve">with complete </w:t>
      </w:r>
      <w:r w:rsidR="0037242C">
        <w:rPr>
          <w:color w:val="000000" w:themeColor="text1"/>
          <w:sz w:val="21"/>
          <w:szCs w:val="21"/>
        </w:rPr>
        <w:t xml:space="preserve">baseline and </w:t>
      </w:r>
      <w:r w:rsidRPr="00EE61A8">
        <w:rPr>
          <w:color w:val="000000" w:themeColor="text1"/>
          <w:sz w:val="21"/>
          <w:szCs w:val="21"/>
        </w:rPr>
        <w:t>Year 2 data (n = 463) and those lost to follow-up (n = 252) out of 715 total participants</w:t>
      </w:r>
    </w:p>
    <w:p w14:paraId="3889A422" w14:textId="6640B3FB" w:rsidR="00A97810" w:rsidRDefault="00A97810" w:rsidP="00E3018A">
      <w:pPr>
        <w:pStyle w:val="p1"/>
        <w:spacing w:line="480" w:lineRule="auto"/>
      </w:pPr>
      <w:r w:rsidRPr="00A97810">
        <w:t xml:space="preserve">Within both non-users and users of hard drugs at baseline, participants lost to follow-up had significantly lower baseline physical QOL compared with those </w:t>
      </w:r>
      <w:r>
        <w:t>with both measurements</w:t>
      </w:r>
      <w:r w:rsidRPr="00A97810">
        <w:t xml:space="preserve"> (non-users: p = 0.021; users: p &lt; 0.001). No significant differences in baseline viral load, CD4 count, or mental QOL were observed between complete and missing participants within either stratum. </w:t>
      </w:r>
      <w:r w:rsidRPr="00A97810">
        <w:lastRenderedPageBreak/>
        <w:t xml:space="preserve">These results suggest that attrition was associated with poorer baseline physical </w:t>
      </w:r>
      <w:r w:rsidR="005319E9">
        <w:t>health</w:t>
      </w:r>
      <w:r w:rsidRPr="00A97810">
        <w:t xml:space="preserve"> but not with baseline laboratory measures.</w:t>
      </w:r>
    </w:p>
    <w:p w14:paraId="3373606D" w14:textId="2FFCEBC2" w:rsidR="00CC20A2" w:rsidRDefault="00C66037" w:rsidP="00CC20A2">
      <w:pPr>
        <w:pStyle w:val="Caption"/>
        <w:jc w:val="center"/>
        <w:rPr>
          <w:b/>
          <w:bCs/>
          <w:color w:val="000000" w:themeColor="text1"/>
          <w:sz w:val="21"/>
          <w:szCs w:val="21"/>
        </w:rPr>
      </w:pPr>
      <w:r w:rsidRPr="00C66037">
        <w:rPr>
          <w:b/>
          <w:bCs/>
          <w:color w:val="000000" w:themeColor="text1"/>
          <w:sz w:val="21"/>
          <w:szCs w:val="21"/>
        </w:rPr>
        <w:drawing>
          <wp:inline distT="0" distB="0" distL="0" distR="0" wp14:anchorId="14ED4613" wp14:editId="0CE5F88D">
            <wp:extent cx="5943600" cy="1071880"/>
            <wp:effectExtent l="0" t="0" r="0" b="0"/>
            <wp:docPr id="16386324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32439" name="Picture 1" descr="A screenshot of a computer&#10;&#10;AI-generated content may be incorrect."/>
                    <pic:cNvPicPr/>
                  </pic:nvPicPr>
                  <pic:blipFill>
                    <a:blip r:embed="rId13"/>
                    <a:stretch>
                      <a:fillRect/>
                    </a:stretch>
                  </pic:blipFill>
                  <pic:spPr>
                    <a:xfrm>
                      <a:off x="0" y="0"/>
                      <a:ext cx="5943600" cy="1071880"/>
                    </a:xfrm>
                    <a:prstGeom prst="rect">
                      <a:avLst/>
                    </a:prstGeom>
                  </pic:spPr>
                </pic:pic>
              </a:graphicData>
            </a:graphic>
          </wp:inline>
        </w:drawing>
      </w:r>
    </w:p>
    <w:p w14:paraId="13D6BA72" w14:textId="70312079" w:rsidR="00CC20A2" w:rsidRPr="00CC20A2" w:rsidRDefault="00CC20A2" w:rsidP="00CC20A2">
      <w:pPr>
        <w:pStyle w:val="Caption"/>
        <w:rPr>
          <w:color w:val="000000" w:themeColor="text1"/>
          <w:sz w:val="21"/>
          <w:szCs w:val="21"/>
        </w:rPr>
      </w:pPr>
      <w:r w:rsidRPr="00EE61A8">
        <w:rPr>
          <w:b/>
          <w:bCs/>
          <w:color w:val="000000" w:themeColor="text1"/>
          <w:sz w:val="21"/>
          <w:szCs w:val="21"/>
        </w:rPr>
        <w:t xml:space="preserve">Table </w:t>
      </w:r>
      <w:r>
        <w:rPr>
          <w:b/>
          <w:bCs/>
          <w:color w:val="000000" w:themeColor="text1"/>
          <w:sz w:val="21"/>
          <w:szCs w:val="21"/>
        </w:rPr>
        <w:t>5</w:t>
      </w:r>
      <w:r w:rsidRPr="00EE61A8">
        <w:rPr>
          <w:color w:val="000000" w:themeColor="text1"/>
          <w:sz w:val="21"/>
          <w:szCs w:val="21"/>
        </w:rPr>
        <w:t>. </w:t>
      </w:r>
      <w:r w:rsidRPr="00CC20A2">
        <w:rPr>
          <w:color w:val="000000" w:themeColor="text1"/>
          <w:sz w:val="21"/>
          <w:szCs w:val="21"/>
        </w:rPr>
        <w:t xml:space="preserve">This table presents percent change in the odds of being missing at Year 2 per one-unit increase in each predictor, estimated using both Bayesian and frequentist logistic regression models. Values are derived from exponentiated coefficients and expressed as percent change in odds ((OR − 1) × 100). Only predictors that were statistically significant (p &lt; 0.05 in the frequentist model and/or 95% </w:t>
      </w:r>
      <w:r w:rsidR="00642B54">
        <w:rPr>
          <w:color w:val="000000" w:themeColor="text1"/>
          <w:sz w:val="21"/>
          <w:szCs w:val="21"/>
        </w:rPr>
        <w:t>HDI</w:t>
      </w:r>
      <w:r w:rsidRPr="00CC20A2">
        <w:rPr>
          <w:color w:val="000000" w:themeColor="text1"/>
          <w:sz w:val="21"/>
          <w:szCs w:val="21"/>
        </w:rPr>
        <w:t xml:space="preserve"> excluding </w:t>
      </w:r>
      <w:r w:rsidR="00642B54">
        <w:rPr>
          <w:color w:val="000000" w:themeColor="text1"/>
          <w:sz w:val="21"/>
          <w:szCs w:val="21"/>
        </w:rPr>
        <w:t xml:space="preserve">zero </w:t>
      </w:r>
      <w:r w:rsidRPr="00CC20A2">
        <w:rPr>
          <w:color w:val="000000" w:themeColor="text1"/>
          <w:sz w:val="21"/>
          <w:szCs w:val="21"/>
        </w:rPr>
        <w:t>in the Bayesian model) are displayed.</w:t>
      </w:r>
      <w:r w:rsidR="00FE4A37">
        <w:rPr>
          <w:color w:val="000000" w:themeColor="text1"/>
          <w:sz w:val="21"/>
          <w:szCs w:val="21"/>
        </w:rPr>
        <w:t xml:space="preserve"> There are nine more observations than previous models due to how follow-up </w:t>
      </w:r>
      <w:r w:rsidR="00520F4A">
        <w:rPr>
          <w:color w:val="000000" w:themeColor="text1"/>
          <w:sz w:val="21"/>
          <w:szCs w:val="21"/>
        </w:rPr>
        <w:t xml:space="preserve">status </w:t>
      </w:r>
      <w:r w:rsidR="00FE4A37">
        <w:rPr>
          <w:color w:val="000000" w:themeColor="text1"/>
          <w:sz w:val="21"/>
          <w:szCs w:val="21"/>
        </w:rPr>
        <w:t>was defined.</w:t>
      </w:r>
    </w:p>
    <w:p w14:paraId="4A56487E" w14:textId="38867B7B" w:rsidR="00221EEE" w:rsidRPr="00221EEE" w:rsidRDefault="00221EEE" w:rsidP="00221EEE">
      <w:pPr>
        <w:pStyle w:val="Caption"/>
        <w:spacing w:line="480" w:lineRule="auto"/>
        <w:rPr>
          <w:i w:val="0"/>
          <w:iCs w:val="0"/>
          <w:color w:val="auto"/>
          <w:sz w:val="24"/>
          <w:szCs w:val="24"/>
        </w:rPr>
      </w:pPr>
      <w:r w:rsidRPr="00221EEE">
        <w:rPr>
          <w:i w:val="0"/>
          <w:iCs w:val="0"/>
          <w:color w:val="auto"/>
          <w:sz w:val="24"/>
          <w:szCs w:val="24"/>
        </w:rPr>
        <w:t xml:space="preserve">In both Bayesian and frequentist logistic regression models, older age and higher baseline physical QOL were significantly associated with lower odds of dropout. Each additional year of age was associated with approximately a 3.4–3.5% reduction in the odds of being missing at Year 2. Similarly, each one-point increase in baseline physical QOL was associated with approximately a 4.4–4.6% reduction in the odds of dropout. </w:t>
      </w:r>
      <w:r w:rsidR="00101F00">
        <w:rPr>
          <w:i w:val="0"/>
          <w:iCs w:val="0"/>
          <w:color w:val="auto"/>
          <w:sz w:val="24"/>
          <w:szCs w:val="24"/>
        </w:rPr>
        <w:t xml:space="preserve">HDIs </w:t>
      </w:r>
      <w:r w:rsidRPr="00221EEE">
        <w:rPr>
          <w:i w:val="0"/>
          <w:iCs w:val="0"/>
          <w:color w:val="auto"/>
          <w:sz w:val="24"/>
          <w:szCs w:val="24"/>
        </w:rPr>
        <w:t xml:space="preserve">and confidence intervals excluded the null, and results were consistent across </w:t>
      </w:r>
      <w:r w:rsidR="00101F00">
        <w:rPr>
          <w:i w:val="0"/>
          <w:iCs w:val="0"/>
          <w:color w:val="auto"/>
          <w:sz w:val="24"/>
          <w:szCs w:val="24"/>
        </w:rPr>
        <w:t>both Bayesian and frequentist models</w:t>
      </w:r>
      <w:r w:rsidRPr="00221EEE">
        <w:rPr>
          <w:i w:val="0"/>
          <w:iCs w:val="0"/>
          <w:color w:val="auto"/>
          <w:sz w:val="24"/>
          <w:szCs w:val="24"/>
        </w:rPr>
        <w:t>.</w:t>
      </w:r>
    </w:p>
    <w:p w14:paraId="4CA42C63" w14:textId="05FC584B" w:rsidR="0028319E" w:rsidRDefault="00BF3557" w:rsidP="0028319E">
      <w:pPr>
        <w:pStyle w:val="Heading2"/>
      </w:pPr>
      <w:bookmarkStart w:id="5" w:name="_Toc221022976"/>
      <w:r>
        <w:t>Discussion</w:t>
      </w:r>
      <w:bookmarkEnd w:id="5"/>
    </w:p>
    <w:p w14:paraId="4492227B" w14:textId="4C86518B" w:rsidR="004362BC" w:rsidRPr="002A1760" w:rsidRDefault="004362BC" w:rsidP="004362BC">
      <w:pPr>
        <w:spacing w:before="100" w:beforeAutospacing="1" w:after="100" w:afterAutospacing="1" w:line="480" w:lineRule="auto"/>
      </w:pPr>
      <w:r w:rsidRPr="002A1760">
        <w:t>In this cohort of HIV-infected men initiating HAART, baseline hard drug use was associated with substantially lower CD4 T-cell counts and modestly lower physical quality-of-life scores at Year 2. No meaningful differences were observed in viral load or mental QOL. These findings suggest that while immunologic</w:t>
      </w:r>
      <w:r w:rsidR="00534F94">
        <w:t xml:space="preserve"> recovery</w:t>
      </w:r>
      <w:r w:rsidRPr="002A1760">
        <w:t xml:space="preserve"> and perceived physical health differences persist two years after treatment initiation, </w:t>
      </w:r>
      <w:r>
        <w:t>viral load</w:t>
      </w:r>
      <w:r w:rsidRPr="002A1760">
        <w:t xml:space="preserve"> suppression </w:t>
      </w:r>
      <w:r>
        <w:t xml:space="preserve">and mental </w:t>
      </w:r>
      <w:r w:rsidR="00534F94">
        <w:t>health</w:t>
      </w:r>
      <w:r>
        <w:t xml:space="preserve"> </w:t>
      </w:r>
      <w:r w:rsidRPr="002A1760">
        <w:t>does not differ meaningfully by baseline hard drug use.</w:t>
      </w:r>
    </w:p>
    <w:p w14:paraId="6820BC4A" w14:textId="691651CC" w:rsidR="00A30E3E" w:rsidRDefault="00534F94" w:rsidP="00534F94">
      <w:pPr>
        <w:spacing w:before="100" w:beforeAutospacing="1" w:after="100" w:afterAutospacing="1" w:line="480" w:lineRule="auto"/>
      </w:pPr>
      <w:r w:rsidRPr="002A1760">
        <w:lastRenderedPageBreak/>
        <w:t xml:space="preserve">Exploratory mediation analyses provided little support for adherence as a mediator of these associations. In fact, the direct effects were slightly larger in magnitude than the total effects, indicating inconsistent mediation. Because </w:t>
      </w:r>
      <w:r w:rsidR="00AB5395">
        <w:t>this approach only looked at differences in the hard drug coefficient estimates,</w:t>
      </w:r>
      <w:r w:rsidRPr="002A1760">
        <w:t xml:space="preserve"> </w:t>
      </w:r>
      <w:r w:rsidR="00AB5395">
        <w:t xml:space="preserve">it </w:t>
      </w:r>
      <w:r w:rsidRPr="002A1760">
        <w:t>does not formally estimate natural indirect effects and relies on strong assumptions regarding confounding, these findings should be interpreted cautiously.</w:t>
      </w:r>
    </w:p>
    <w:p w14:paraId="2641D8AE" w14:textId="3CDFC6F1" w:rsidR="006B5220" w:rsidRDefault="00A30E3E" w:rsidP="00A46BF3">
      <w:pPr>
        <w:spacing w:before="100" w:beforeAutospacing="1" w:after="100" w:afterAutospacing="1" w:line="480" w:lineRule="auto"/>
      </w:pPr>
      <w:r w:rsidRPr="00A30E3E">
        <w:t xml:space="preserve">Loss to follow-up was associated with lower baseline physical QOL and younger age, but not with baseline laboratory measures, and this pattern was consistent across hard drug users and non-users. </w:t>
      </w:r>
      <w:r>
        <w:t>Logistic</w:t>
      </w:r>
      <w:r w:rsidRPr="00A30E3E">
        <w:t xml:space="preserve"> regression</w:t>
      </w:r>
      <w:r>
        <w:t xml:space="preserve"> results indicated that increases in </w:t>
      </w:r>
      <w:r w:rsidRPr="00A30E3E">
        <w:t xml:space="preserve">physical </w:t>
      </w:r>
      <w:r>
        <w:t>QOL scores</w:t>
      </w:r>
      <w:r w:rsidRPr="00A30E3E">
        <w:t xml:space="preserve"> </w:t>
      </w:r>
      <w:r>
        <w:t xml:space="preserve">and year of </w:t>
      </w:r>
      <w:r w:rsidRPr="00A30E3E">
        <w:t>age was associated with reduction in dropout odds.</w:t>
      </w:r>
      <w:r w:rsidR="00265D16">
        <w:t xml:space="preserve">  </w:t>
      </w:r>
      <w:r w:rsidR="00DD652D" w:rsidRPr="00DD652D">
        <w:t>These findings indicate that missingness was unlikely to be completely at random (MCAR) and may instead be consistent with missing-at-random (MAR) mechanism</w:t>
      </w:r>
      <w:r w:rsidR="00DD652D">
        <w:t xml:space="preserve">, where missingness is dependent on observed variables, possibly baseline physical health. </w:t>
      </w:r>
      <w:r w:rsidR="00DD652D" w:rsidRPr="00DD652D">
        <w:t xml:space="preserve">Because baseline physical QOL was included as a covariate in all models, the potential for bias due to differences in dropout probabilities between users and non-users is reduced but cannot be entirely ruled out. </w:t>
      </w:r>
    </w:p>
    <w:p w14:paraId="187C5985" w14:textId="66C43A39" w:rsidR="006B3AF5" w:rsidRDefault="006B3AF5" w:rsidP="006B3AF5">
      <w:pPr>
        <w:pStyle w:val="Heading4"/>
        <w:contextualSpacing/>
      </w:pPr>
      <w:r>
        <w:t>4.1</w:t>
      </w:r>
      <w:r w:rsidRPr="00FA7D62">
        <w:t xml:space="preserve"> </w:t>
      </w:r>
      <w:r>
        <w:t>Limitations</w:t>
      </w:r>
      <w:r>
        <w:t xml:space="preserve"> </w:t>
      </w:r>
    </w:p>
    <w:p w14:paraId="08DB9351" w14:textId="3F0AB2DB" w:rsidR="00013AD6" w:rsidRDefault="00013AD6" w:rsidP="00013AD6">
      <w:pPr>
        <w:spacing w:before="100" w:beforeAutospacing="1" w:after="100" w:afterAutospacing="1" w:line="480" w:lineRule="auto"/>
      </w:pPr>
      <w:r w:rsidRPr="002A1760">
        <w:t xml:space="preserve">Several limitations should be noted. First, the observational design </w:t>
      </w:r>
      <w:r>
        <w:t xml:space="preserve">of this study can suffer from bias due to exposure of interest not being randomly assigned and unmeasured confounders, </w:t>
      </w:r>
      <w:r w:rsidRPr="00013AD6">
        <w:t>which may lead to misleading associations</w:t>
      </w:r>
      <w:r>
        <w:t>.</w:t>
      </w:r>
      <w:r w:rsidR="005712B6">
        <w:t xml:space="preserve"> Second, adherence was measured as a binary variable (&lt;95% vs  ≥95%) and may be too simplistic for proper classification. Because of this, </w:t>
      </w:r>
      <w:r w:rsidR="005712B6" w:rsidRPr="002A1760">
        <w:t>mediation was evaluated using an exploratory attenuation approach rather than a formal causal mediation framework.</w:t>
      </w:r>
      <w:r w:rsidR="00BA7190">
        <w:t xml:space="preserve"> There was a relatively small number of baseline hard drug users (36)</w:t>
      </w:r>
      <w:r w:rsidR="00202B66">
        <w:t>, which may not contain enough power to accurately make comparisons.</w:t>
      </w:r>
    </w:p>
    <w:p w14:paraId="0CC7FA21" w14:textId="2C278D15" w:rsidR="000C604F" w:rsidRDefault="00B467F6" w:rsidP="000C604F">
      <w:pPr>
        <w:spacing w:line="480" w:lineRule="auto"/>
      </w:pPr>
      <w:r>
        <w:lastRenderedPageBreak/>
        <w:t>Lastly, the i</w:t>
      </w:r>
      <w:r w:rsidR="000C604F" w:rsidRPr="000C604F">
        <w:t xml:space="preserve">nterpretation of SF-36 physical and mental QOL scores is limited because meaningful clinical interpretation typically requires comparison to age-, sex-, and population-specific data. </w:t>
      </w:r>
    </w:p>
    <w:p w14:paraId="04F637AC" w14:textId="12D4C137" w:rsidR="008E5DF0" w:rsidRDefault="006B3AF5" w:rsidP="006B3AF5">
      <w:pPr>
        <w:pStyle w:val="Heading4"/>
        <w:contextualSpacing/>
      </w:pPr>
      <w:r>
        <w:t>4.</w:t>
      </w:r>
      <w:r>
        <w:t>2</w:t>
      </w:r>
      <w:r w:rsidRPr="00FA7D62">
        <w:t xml:space="preserve"> </w:t>
      </w:r>
      <w:r>
        <w:t>Conclusions</w:t>
      </w:r>
    </w:p>
    <w:p w14:paraId="0861220E" w14:textId="77777777" w:rsidR="00BE714A" w:rsidRDefault="00BE714A" w:rsidP="00BE714A"/>
    <w:p w14:paraId="63369236" w14:textId="62B9A530" w:rsidR="00BE714A" w:rsidRPr="00BE714A" w:rsidRDefault="00BE714A" w:rsidP="00BE714A">
      <w:pPr>
        <w:spacing w:line="480" w:lineRule="auto"/>
      </w:pPr>
      <w:r w:rsidRPr="00BE714A">
        <w:t xml:space="preserve">Overall, these findings suggest that baseline hard drug use is associated with poorer immunologic recovery and lower physical quality of life following HAART initiation, while adherence does not appear to meaningfully mediate these associations. Loss to follow-up was more common among younger participants and those with poorer baseline physical </w:t>
      </w:r>
      <w:r>
        <w:t>health</w:t>
      </w:r>
      <w:r w:rsidRPr="00BE714A">
        <w:t xml:space="preserve">, indicating that </w:t>
      </w:r>
      <w:r>
        <w:t>drop-out</w:t>
      </w:r>
      <w:r w:rsidRPr="00BE714A">
        <w:t xml:space="preserve"> </w:t>
      </w:r>
      <w:r>
        <w:t>appeared has some dependency on observed health statuses</w:t>
      </w:r>
      <w:r w:rsidRPr="00BE714A">
        <w:t xml:space="preserve">. </w:t>
      </w:r>
    </w:p>
    <w:p w14:paraId="47D80EA0" w14:textId="77777777" w:rsidR="00BE714A" w:rsidRPr="00BE714A" w:rsidRDefault="00BE714A" w:rsidP="00BE714A"/>
    <w:p w14:paraId="67E031FC" w14:textId="77777777" w:rsidR="006B3AF5" w:rsidRPr="000C604F" w:rsidRDefault="006B3AF5" w:rsidP="006B3AF5"/>
    <w:p w14:paraId="1ECBC4EE" w14:textId="77777777" w:rsidR="002116CE" w:rsidRDefault="002116CE" w:rsidP="000045B5">
      <w:pPr>
        <w:spacing w:line="480" w:lineRule="auto"/>
      </w:pPr>
    </w:p>
    <w:p w14:paraId="089B1FF4" w14:textId="77777777" w:rsidR="002116CE" w:rsidRDefault="002116CE" w:rsidP="000045B5">
      <w:pPr>
        <w:spacing w:line="480" w:lineRule="auto"/>
      </w:pPr>
    </w:p>
    <w:p w14:paraId="74A224DF" w14:textId="77777777" w:rsidR="002116CE" w:rsidRDefault="002116CE" w:rsidP="000045B5">
      <w:pPr>
        <w:spacing w:line="480" w:lineRule="auto"/>
      </w:pPr>
    </w:p>
    <w:p w14:paraId="121C6C30" w14:textId="77777777" w:rsidR="00A64E53" w:rsidRDefault="00A64E53" w:rsidP="00161343">
      <w:pPr>
        <w:pStyle w:val="Heading2"/>
      </w:pPr>
      <w:bookmarkStart w:id="6" w:name="_Toc221022977"/>
    </w:p>
    <w:p w14:paraId="0FE11363" w14:textId="77777777" w:rsidR="0089272D" w:rsidRDefault="0089272D" w:rsidP="00161343">
      <w:pPr>
        <w:pStyle w:val="Heading2"/>
      </w:pPr>
    </w:p>
    <w:p w14:paraId="41A8DCAA" w14:textId="77777777" w:rsidR="0089272D" w:rsidRDefault="0089272D" w:rsidP="00161343">
      <w:pPr>
        <w:pStyle w:val="Heading2"/>
      </w:pPr>
    </w:p>
    <w:p w14:paraId="0479A139" w14:textId="77777777" w:rsidR="0089272D" w:rsidRPr="0089272D" w:rsidRDefault="0089272D" w:rsidP="0089272D"/>
    <w:p w14:paraId="47E7B0E2" w14:textId="77777777" w:rsidR="00BE714A" w:rsidRDefault="00BE714A" w:rsidP="00161343">
      <w:pPr>
        <w:pStyle w:val="Heading2"/>
      </w:pPr>
    </w:p>
    <w:p w14:paraId="39E2349B" w14:textId="77777777" w:rsidR="00BE714A" w:rsidRDefault="00BE714A" w:rsidP="00161343">
      <w:pPr>
        <w:pStyle w:val="Heading2"/>
      </w:pPr>
    </w:p>
    <w:p w14:paraId="25C086DD" w14:textId="77777777" w:rsidR="00BE714A" w:rsidRDefault="00BE714A" w:rsidP="00161343">
      <w:pPr>
        <w:pStyle w:val="Heading2"/>
      </w:pPr>
    </w:p>
    <w:p w14:paraId="0BBFEB1B" w14:textId="2A9C9976" w:rsidR="00373454" w:rsidRDefault="00373454" w:rsidP="00161343">
      <w:pPr>
        <w:pStyle w:val="Heading2"/>
      </w:pPr>
    </w:p>
    <w:p w14:paraId="341C742A" w14:textId="77777777" w:rsidR="00373454" w:rsidRPr="00373454" w:rsidRDefault="00373454" w:rsidP="00373454"/>
    <w:p w14:paraId="24AF6623" w14:textId="438977A6" w:rsidR="00161343" w:rsidRDefault="00161343" w:rsidP="00161343">
      <w:pPr>
        <w:pStyle w:val="Heading2"/>
      </w:pPr>
      <w:r>
        <w:lastRenderedPageBreak/>
        <w:t>References</w:t>
      </w:r>
      <w:bookmarkEnd w:id="6"/>
    </w:p>
    <w:p w14:paraId="256C698E" w14:textId="14B4AEA1" w:rsidR="00940747" w:rsidRDefault="00940747" w:rsidP="00940747">
      <w:pPr>
        <w:rPr>
          <w:color w:val="000000" w:themeColor="text1"/>
        </w:rPr>
      </w:pPr>
      <w:r w:rsidRPr="004D7F16">
        <w:rPr>
          <w:color w:val="000000" w:themeColor="text1"/>
        </w:rPr>
        <w:t>ChatGPT was used to check R code errors for some of the packages used and to grammar check (OpenAI, 2025).</w:t>
      </w:r>
    </w:p>
    <w:p w14:paraId="2BF2B254" w14:textId="33DC7662" w:rsidR="00A64E53" w:rsidRPr="003862AE" w:rsidRDefault="003862AE" w:rsidP="003862AE">
      <w:pPr>
        <w:pStyle w:val="p1"/>
      </w:pPr>
      <w:r>
        <w:t xml:space="preserve">McElreath, R. (2020). </w:t>
      </w:r>
      <w:r>
        <w:rPr>
          <w:i/>
          <w:iCs/>
        </w:rPr>
        <w:t>Statistical rethinking: A Bayesian course with examples in R and Stan</w:t>
      </w:r>
      <w:r>
        <w:t xml:space="preserve"> (2nd ed.). Chapman &amp; Hall/CRC.</w:t>
      </w:r>
    </w:p>
    <w:p w14:paraId="3A3C69B5" w14:textId="31704E06" w:rsidR="00DB4132" w:rsidRPr="004D7F16" w:rsidRDefault="00AB664C" w:rsidP="00AB664C">
      <w:r w:rsidRPr="004D7F16">
        <w:rPr>
          <w:color w:val="000000" w:themeColor="text1"/>
        </w:rPr>
        <w:t>Gabry, J., &amp; Mahr, T. (n.d.). Plotting MCMC draws (</w:t>
      </w:r>
      <w:proofErr w:type="spellStart"/>
      <w:r w:rsidRPr="004D7F16">
        <w:rPr>
          <w:color w:val="000000" w:themeColor="text1"/>
        </w:rPr>
        <w:t>bayesplot</w:t>
      </w:r>
      <w:proofErr w:type="spellEnd"/>
      <w:r w:rsidRPr="004D7F16">
        <w:rPr>
          <w:color w:val="000000" w:themeColor="text1"/>
        </w:rPr>
        <w:t xml:space="preserve"> vignette). CRAN. </w:t>
      </w:r>
      <w:hyperlink r:id="rId14" w:tgtFrame="_new" w:history="1">
        <w:r w:rsidRPr="004D7F16">
          <w:rPr>
            <w:color w:val="000000" w:themeColor="text1"/>
          </w:rPr>
          <w:t>https://cran.r-project.org/web/packages/bayesplot/vignettes/plotting-mcmc-draws.html</w:t>
        </w:r>
      </w:hyperlink>
    </w:p>
    <w:p w14:paraId="6B999147" w14:textId="77777777" w:rsidR="00A64E53" w:rsidRPr="004D7F16" w:rsidRDefault="00A64E53" w:rsidP="00AB664C">
      <w:pPr>
        <w:rPr>
          <w:color w:val="000000" w:themeColor="text1"/>
        </w:rPr>
      </w:pPr>
    </w:p>
    <w:p w14:paraId="5437341C" w14:textId="320E0226" w:rsidR="00AB664C" w:rsidRPr="004D7F16" w:rsidRDefault="00AB664C" w:rsidP="00AB664C">
      <w:r w:rsidRPr="004D7F16">
        <w:rPr>
          <w:color w:val="000000" w:themeColor="text1"/>
        </w:rPr>
        <w:t>Yuan, Y., &amp; MacKinnon, D. P. (2009). Bayesian mediation analysis. </w:t>
      </w:r>
      <w:r w:rsidRPr="004D7F16">
        <w:rPr>
          <w:i/>
          <w:iCs/>
          <w:color w:val="000000" w:themeColor="text1"/>
        </w:rPr>
        <w:t>Psychological Methods, 14</w:t>
      </w:r>
      <w:r w:rsidRPr="004D7F16">
        <w:rPr>
          <w:color w:val="000000" w:themeColor="text1"/>
        </w:rPr>
        <w:t>(4), 301–322. </w:t>
      </w:r>
      <w:hyperlink r:id="rId15" w:history="1">
        <w:r w:rsidRPr="004D7F16">
          <w:rPr>
            <w:rStyle w:val="Hyperlink"/>
          </w:rPr>
          <w:t>https://doi.org/10.1037/a0016972</w:t>
        </w:r>
      </w:hyperlink>
    </w:p>
    <w:p w14:paraId="7D340AFC" w14:textId="77777777" w:rsidR="00A64E53" w:rsidRPr="004D7F16" w:rsidRDefault="00A64E53" w:rsidP="00AB664C">
      <w:pPr>
        <w:rPr>
          <w:color w:val="000000" w:themeColor="text1"/>
        </w:rPr>
      </w:pPr>
    </w:p>
    <w:p w14:paraId="4C029F79" w14:textId="6AAC4925" w:rsidR="00E12F58" w:rsidRPr="004D7F16" w:rsidRDefault="00AB664C" w:rsidP="00AB664C">
      <w:proofErr w:type="spellStart"/>
      <w:r w:rsidRPr="004D7F16">
        <w:rPr>
          <w:color w:val="000000" w:themeColor="text1"/>
        </w:rPr>
        <w:t>Stanbouly</w:t>
      </w:r>
      <w:proofErr w:type="spellEnd"/>
      <w:r w:rsidRPr="004D7F16">
        <w:rPr>
          <w:color w:val="000000" w:themeColor="text1"/>
        </w:rPr>
        <w:t>, D., Lee, K. C., Dodson, T. B., &amp; Chuang, S.-K. (2022). What is collider bias and why should we care? </w:t>
      </w:r>
      <w:r w:rsidRPr="004D7F16">
        <w:rPr>
          <w:i/>
          <w:iCs/>
          <w:color w:val="000000" w:themeColor="text1"/>
        </w:rPr>
        <w:t>Journal of Oral and Maxillofacial Surgery, 80</w:t>
      </w:r>
      <w:r w:rsidRPr="004D7F16">
        <w:rPr>
          <w:color w:val="000000" w:themeColor="text1"/>
        </w:rPr>
        <w:t>(8), 1463–1465. </w:t>
      </w:r>
      <w:hyperlink r:id="rId16" w:tgtFrame="_new" w:history="1">
        <w:r w:rsidRPr="004D7F16">
          <w:rPr>
            <w:rStyle w:val="Hyperlink"/>
          </w:rPr>
          <w:t>https://doi.org/10.1016/j.joms.2022.04.019</w:t>
        </w:r>
      </w:hyperlink>
    </w:p>
    <w:p w14:paraId="334ED992" w14:textId="77777777" w:rsidR="00A64E53" w:rsidRPr="004D7F16" w:rsidRDefault="00A64E53" w:rsidP="00AB664C"/>
    <w:p w14:paraId="66D9B48B" w14:textId="68EAE497" w:rsidR="00E12F58" w:rsidRPr="004D7F16" w:rsidRDefault="00E12F58" w:rsidP="00AB664C">
      <w:pPr>
        <w:rPr>
          <w:color w:val="000000" w:themeColor="text1"/>
        </w:rPr>
      </w:pPr>
      <w:r w:rsidRPr="004D7F16">
        <w:rPr>
          <w:color w:val="000000" w:themeColor="text1"/>
        </w:rPr>
        <w:t>Statistical Inference at WIS. (n.d.).</w:t>
      </w:r>
      <w:r w:rsidRPr="004D7F16">
        <w:rPr>
          <w:rFonts w:eastAsiaTheme="majorEastAsia"/>
          <w:color w:val="000000" w:themeColor="text1"/>
        </w:rPr>
        <w:t> </w:t>
      </w:r>
      <w:r w:rsidRPr="004D7F16">
        <w:rPr>
          <w:rFonts w:eastAsiaTheme="majorEastAsia"/>
          <w:i/>
          <w:iCs/>
          <w:color w:val="000000" w:themeColor="text1"/>
        </w:rPr>
        <w:t>Model comparison in practice</w:t>
      </w:r>
      <w:r w:rsidRPr="004D7F16">
        <w:rPr>
          <w:color w:val="000000" w:themeColor="text1"/>
        </w:rPr>
        <w:t>.</w:t>
      </w:r>
      <w:r w:rsidRPr="004D7F16">
        <w:rPr>
          <w:rFonts w:eastAsiaTheme="majorEastAsia"/>
          <w:color w:val="000000" w:themeColor="text1"/>
        </w:rPr>
        <w:t> </w:t>
      </w:r>
      <w:hyperlink r:id="rId17" w:tgtFrame="_new" w:history="1">
        <w:r w:rsidRPr="004D7F16">
          <w:rPr>
            <w:rStyle w:val="Hyperlink"/>
            <w:rFonts w:eastAsiaTheme="majorEastAsia"/>
          </w:rPr>
          <w:t>https://wis-stats.github.io/lessons/model_assessment/model_comparison_in_practice.html</w:t>
        </w:r>
      </w:hyperlink>
    </w:p>
    <w:p w14:paraId="00C8477B" w14:textId="77777777" w:rsidR="00A64E53" w:rsidRPr="004D7F16" w:rsidRDefault="00A64E53" w:rsidP="00AB664C">
      <w:pPr>
        <w:rPr>
          <w:color w:val="000000" w:themeColor="text1"/>
        </w:rPr>
      </w:pPr>
    </w:p>
    <w:p w14:paraId="499AC71C" w14:textId="3C0A2790" w:rsidR="00E12F58" w:rsidRPr="004D7F16" w:rsidRDefault="00E12F58" w:rsidP="00AB664C">
      <w:pPr>
        <w:rPr>
          <w:color w:val="000000" w:themeColor="text1"/>
        </w:rPr>
      </w:pPr>
      <w:r w:rsidRPr="004D7F16">
        <w:rPr>
          <w:color w:val="000000" w:themeColor="text1"/>
        </w:rPr>
        <w:t>Clark, M. (n.d.).</w:t>
      </w:r>
      <w:r w:rsidRPr="004D7F16">
        <w:rPr>
          <w:rFonts w:eastAsiaTheme="majorEastAsia"/>
          <w:color w:val="000000" w:themeColor="text1"/>
        </w:rPr>
        <w:t> </w:t>
      </w:r>
      <w:r w:rsidRPr="004D7F16">
        <w:rPr>
          <w:rFonts w:eastAsiaTheme="majorEastAsia"/>
          <w:i/>
          <w:iCs/>
          <w:color w:val="000000" w:themeColor="text1"/>
        </w:rPr>
        <w:t>Model diagnostics</w:t>
      </w:r>
      <w:r w:rsidRPr="004D7F16">
        <w:rPr>
          <w:color w:val="000000" w:themeColor="text1"/>
        </w:rPr>
        <w:t>.</w:t>
      </w:r>
      <w:r w:rsidRPr="004D7F16">
        <w:rPr>
          <w:rFonts w:eastAsiaTheme="majorEastAsia"/>
          <w:color w:val="000000" w:themeColor="text1"/>
        </w:rPr>
        <w:t> </w:t>
      </w:r>
      <w:r w:rsidRPr="004D7F16">
        <w:rPr>
          <w:rFonts w:eastAsiaTheme="majorEastAsia"/>
          <w:i/>
          <w:iCs/>
          <w:color w:val="000000" w:themeColor="text1"/>
        </w:rPr>
        <w:t>Easy Bayes</w:t>
      </w:r>
      <w:r w:rsidRPr="004D7F16">
        <w:rPr>
          <w:color w:val="000000" w:themeColor="text1"/>
        </w:rPr>
        <w:t>.</w:t>
      </w:r>
      <w:r w:rsidRPr="004D7F16">
        <w:rPr>
          <w:rFonts w:eastAsiaTheme="majorEastAsia"/>
          <w:color w:val="000000" w:themeColor="text1"/>
        </w:rPr>
        <w:t> </w:t>
      </w:r>
      <w:hyperlink r:id="rId18" w:tgtFrame="_new" w:history="1">
        <w:r w:rsidRPr="004D7F16">
          <w:rPr>
            <w:rStyle w:val="Hyperlink"/>
            <w:rFonts w:eastAsiaTheme="majorEastAsia"/>
          </w:rPr>
          <w:t>https://m-clark.github.io/easy-bayes/model-diagnostics.html</w:t>
        </w:r>
      </w:hyperlink>
    </w:p>
    <w:p w14:paraId="05BA5F59" w14:textId="77777777" w:rsidR="00A64E53" w:rsidRPr="004D7F16" w:rsidRDefault="00A64E53" w:rsidP="00AB664C">
      <w:pPr>
        <w:rPr>
          <w:color w:val="000000" w:themeColor="text1"/>
        </w:rPr>
      </w:pPr>
    </w:p>
    <w:p w14:paraId="6BCCA6AF" w14:textId="3A7E3E19" w:rsidR="00972596" w:rsidRPr="004D7F16" w:rsidRDefault="00972596" w:rsidP="00972596">
      <w:pPr>
        <w:rPr>
          <w:color w:val="000000" w:themeColor="text1"/>
        </w:rPr>
      </w:pPr>
      <w:r w:rsidRPr="00972596">
        <w:rPr>
          <w:color w:val="000000" w:themeColor="text1"/>
        </w:rPr>
        <w:t xml:space="preserve">He, M. (n.d.). </w:t>
      </w:r>
      <w:r w:rsidRPr="00972596">
        <w:rPr>
          <w:i/>
          <w:iCs/>
          <w:color w:val="000000" w:themeColor="text1"/>
        </w:rPr>
        <w:t>Model diagnostics</w:t>
      </w:r>
      <w:r w:rsidRPr="00972596">
        <w:rPr>
          <w:color w:val="000000" w:themeColor="text1"/>
        </w:rPr>
        <w:t xml:space="preserve">. In </w:t>
      </w:r>
      <w:r w:rsidRPr="00972596">
        <w:rPr>
          <w:i/>
          <w:iCs/>
          <w:color w:val="000000" w:themeColor="text1"/>
        </w:rPr>
        <w:t>Course handouts for Bayesian data analysis class</w:t>
      </w:r>
      <w:r w:rsidRPr="00972596">
        <w:rPr>
          <w:color w:val="000000" w:themeColor="text1"/>
        </w:rPr>
        <w:t xml:space="preserve">. </w:t>
      </w:r>
      <w:hyperlink r:id="rId19" w:history="1">
        <w:r w:rsidRPr="00972596">
          <w:rPr>
            <w:rStyle w:val="Hyperlink"/>
          </w:rPr>
          <w:t>https://bookdown.org/marklhc/notes_bookdown/model-diagnostics.html</w:t>
        </w:r>
      </w:hyperlink>
    </w:p>
    <w:p w14:paraId="4BB1E8D0" w14:textId="77777777" w:rsidR="00A64E53" w:rsidRPr="004D7F16" w:rsidRDefault="00A64E53" w:rsidP="00972596">
      <w:pPr>
        <w:rPr>
          <w:color w:val="000000" w:themeColor="text1"/>
        </w:rPr>
      </w:pPr>
    </w:p>
    <w:p w14:paraId="1F485683" w14:textId="05368FE2" w:rsidR="00E959BC" w:rsidRDefault="00E959BC" w:rsidP="00E959BC">
      <w:pPr>
        <w:spacing w:after="160" w:line="278" w:lineRule="auto"/>
        <w:rPr>
          <w:color w:val="000000" w:themeColor="text1"/>
        </w:rPr>
      </w:pPr>
      <w:r w:rsidRPr="00E959BC">
        <w:rPr>
          <w:color w:val="000000" w:themeColor="text1"/>
        </w:rPr>
        <w:t xml:space="preserve">Makowski, D., </w:t>
      </w:r>
      <w:proofErr w:type="spellStart"/>
      <w:r w:rsidRPr="00E959BC">
        <w:rPr>
          <w:color w:val="000000" w:themeColor="text1"/>
        </w:rPr>
        <w:t>Lüdecke</w:t>
      </w:r>
      <w:proofErr w:type="spellEnd"/>
      <w:r w:rsidRPr="00E959BC">
        <w:rPr>
          <w:color w:val="000000" w:themeColor="text1"/>
        </w:rPr>
        <w:t xml:space="preserve">, D., Ben-Shachar, M. S., Patil, I., Wilson, M. K., &amp; Wiernik, B. M. (n.d.). </w:t>
      </w:r>
      <w:r w:rsidRPr="00E959BC">
        <w:rPr>
          <w:i/>
          <w:iCs/>
          <w:color w:val="000000" w:themeColor="text1"/>
        </w:rPr>
        <w:t xml:space="preserve">Sequential Effect </w:t>
      </w:r>
      <w:proofErr w:type="spellStart"/>
      <w:r w:rsidRPr="00E959BC">
        <w:rPr>
          <w:i/>
          <w:iCs/>
          <w:color w:val="000000" w:themeColor="text1"/>
        </w:rPr>
        <w:t>eXistence</w:t>
      </w:r>
      <w:proofErr w:type="spellEnd"/>
      <w:r w:rsidRPr="00E959BC">
        <w:rPr>
          <w:i/>
          <w:iCs/>
          <w:color w:val="000000" w:themeColor="text1"/>
        </w:rPr>
        <w:t xml:space="preserve"> and </w:t>
      </w:r>
      <w:proofErr w:type="spellStart"/>
      <w:r w:rsidRPr="00E959BC">
        <w:rPr>
          <w:i/>
          <w:iCs/>
          <w:color w:val="000000" w:themeColor="text1"/>
        </w:rPr>
        <w:t>sIgnificance</w:t>
      </w:r>
      <w:proofErr w:type="spellEnd"/>
      <w:r w:rsidRPr="00E959BC">
        <w:rPr>
          <w:i/>
          <w:iCs/>
          <w:color w:val="000000" w:themeColor="text1"/>
        </w:rPr>
        <w:t xml:space="preserve"> Testing (SEXIT)</w:t>
      </w:r>
      <w:r w:rsidRPr="00E959BC">
        <w:rPr>
          <w:color w:val="000000" w:themeColor="text1"/>
        </w:rPr>
        <w:t xml:space="preserve">. </w:t>
      </w:r>
      <w:proofErr w:type="spellStart"/>
      <w:r w:rsidRPr="00E959BC">
        <w:rPr>
          <w:rFonts w:eastAsiaTheme="majorEastAsia"/>
          <w:color w:val="000000" w:themeColor="text1"/>
        </w:rPr>
        <w:t>bayestestR</w:t>
      </w:r>
      <w:proofErr w:type="spellEnd"/>
      <w:r w:rsidRPr="00E959BC">
        <w:rPr>
          <w:color w:val="000000" w:themeColor="text1"/>
        </w:rPr>
        <w:t xml:space="preserve">. </w:t>
      </w:r>
      <w:hyperlink r:id="rId20" w:history="1">
        <w:r w:rsidRPr="00E959BC">
          <w:rPr>
            <w:rStyle w:val="Hyperlink"/>
          </w:rPr>
          <w:t>https://easystats.github.io/bayestestR/reference/sexit.html</w:t>
        </w:r>
      </w:hyperlink>
    </w:p>
    <w:p w14:paraId="5183EE8F" w14:textId="237EA5EE" w:rsidR="00842729" w:rsidRDefault="00842729" w:rsidP="00E959BC">
      <w:pPr>
        <w:spacing w:after="160" w:line="278" w:lineRule="auto"/>
      </w:pPr>
      <w:proofErr w:type="spellStart"/>
      <w:r w:rsidRPr="00842729">
        <w:rPr>
          <w:color w:val="000000" w:themeColor="text1"/>
        </w:rPr>
        <w:t>Bürkner</w:t>
      </w:r>
      <w:proofErr w:type="spellEnd"/>
      <w:r w:rsidRPr="00842729">
        <w:rPr>
          <w:color w:val="000000" w:themeColor="text1"/>
        </w:rPr>
        <w:t>, P.-C. (2017). brms: An R Package for Bayesian Multilevel Models Using Stan. </w:t>
      </w:r>
      <w:r w:rsidRPr="00842729">
        <w:rPr>
          <w:i/>
          <w:iCs/>
          <w:color w:val="000000" w:themeColor="text1"/>
        </w:rPr>
        <w:t>Journal of Statistical Software</w:t>
      </w:r>
      <w:r w:rsidRPr="00842729">
        <w:rPr>
          <w:color w:val="000000" w:themeColor="text1"/>
        </w:rPr>
        <w:t>, </w:t>
      </w:r>
      <w:r w:rsidRPr="00842729">
        <w:rPr>
          <w:i/>
          <w:iCs/>
          <w:color w:val="000000" w:themeColor="text1"/>
        </w:rPr>
        <w:t>80</w:t>
      </w:r>
      <w:r w:rsidRPr="00842729">
        <w:rPr>
          <w:color w:val="000000" w:themeColor="text1"/>
        </w:rPr>
        <w:t xml:space="preserve">(1), 1–28. </w:t>
      </w:r>
      <w:hyperlink r:id="rId21" w:history="1">
        <w:r w:rsidRPr="00842729">
          <w:rPr>
            <w:rStyle w:val="Hyperlink"/>
          </w:rPr>
          <w:t>https://doi.org/10.18637/jss.v080.i01</w:t>
        </w:r>
      </w:hyperlink>
    </w:p>
    <w:p w14:paraId="1E05DD6F" w14:textId="77777777" w:rsidR="00D00685" w:rsidRPr="00D00685" w:rsidRDefault="00D00685" w:rsidP="00D00685">
      <w:pPr>
        <w:spacing w:after="160" w:line="278" w:lineRule="auto"/>
        <w:rPr>
          <w:color w:val="000000" w:themeColor="text1"/>
        </w:rPr>
      </w:pPr>
      <w:r w:rsidRPr="00D00685">
        <w:rPr>
          <w:color w:val="000000" w:themeColor="text1"/>
        </w:rPr>
        <w:t xml:space="preserve">Makowski, D., Ben-Shachar, M. S., &amp; </w:t>
      </w:r>
      <w:proofErr w:type="spellStart"/>
      <w:r w:rsidRPr="00D00685">
        <w:rPr>
          <w:color w:val="000000" w:themeColor="text1"/>
        </w:rPr>
        <w:t>Lüdecke</w:t>
      </w:r>
      <w:proofErr w:type="spellEnd"/>
      <w:r w:rsidRPr="00D00685">
        <w:rPr>
          <w:color w:val="000000" w:themeColor="text1"/>
        </w:rPr>
        <w:t xml:space="preserve">, D. (2019). </w:t>
      </w:r>
      <w:proofErr w:type="spellStart"/>
      <w:r w:rsidRPr="00D00685">
        <w:rPr>
          <w:color w:val="000000" w:themeColor="text1"/>
        </w:rPr>
        <w:t>bayestestR</w:t>
      </w:r>
      <w:proofErr w:type="spellEnd"/>
      <w:r w:rsidRPr="00D00685">
        <w:rPr>
          <w:color w:val="000000" w:themeColor="text1"/>
        </w:rPr>
        <w:t xml:space="preserve">: Describing Effects and their Uncertainty, Existence and Significance within the Bayesian Framework. Journal of </w:t>
      </w:r>
      <w:proofErr w:type="gramStart"/>
      <w:r w:rsidRPr="00D00685">
        <w:rPr>
          <w:color w:val="000000" w:themeColor="text1"/>
        </w:rPr>
        <w:t>Open Source</w:t>
      </w:r>
      <w:proofErr w:type="gramEnd"/>
      <w:r w:rsidRPr="00D00685">
        <w:rPr>
          <w:color w:val="000000" w:themeColor="text1"/>
        </w:rPr>
        <w:t xml:space="preserve"> Software, 4(40), 1541. </w:t>
      </w:r>
      <w:hyperlink r:id="rId22" w:history="1">
        <w:r w:rsidRPr="00D00685">
          <w:rPr>
            <w:rStyle w:val="Hyperlink"/>
          </w:rPr>
          <w:t>doi:10.21105/joss.01541</w:t>
        </w:r>
      </w:hyperlink>
    </w:p>
    <w:p w14:paraId="620CB1D4" w14:textId="77777777" w:rsidR="00D00685" w:rsidRPr="00D00685" w:rsidRDefault="00D00685" w:rsidP="00D00685">
      <w:pPr>
        <w:spacing w:after="160" w:line="278" w:lineRule="auto"/>
        <w:rPr>
          <w:color w:val="000000" w:themeColor="text1"/>
        </w:rPr>
      </w:pPr>
      <w:r w:rsidRPr="00D00685">
        <w:rPr>
          <w:color w:val="000000" w:themeColor="text1"/>
        </w:rPr>
        <w:t xml:space="preserve">Makowski D, Ben-Shachar MS, Chen SHA, </w:t>
      </w:r>
      <w:proofErr w:type="spellStart"/>
      <w:r w:rsidRPr="00D00685">
        <w:rPr>
          <w:color w:val="000000" w:themeColor="text1"/>
        </w:rPr>
        <w:t>Lüdecke</w:t>
      </w:r>
      <w:proofErr w:type="spellEnd"/>
      <w:r w:rsidRPr="00D00685">
        <w:rPr>
          <w:color w:val="000000" w:themeColor="text1"/>
        </w:rPr>
        <w:t xml:space="preserve"> D (2019) Indices of Effect Existence and Significance in the Bayesian Framework. Frontiers in Psychology 2019;10:2767. </w:t>
      </w:r>
      <w:hyperlink r:id="rId23" w:history="1">
        <w:r w:rsidRPr="00D00685">
          <w:rPr>
            <w:rStyle w:val="Hyperlink"/>
          </w:rPr>
          <w:t>doi:10.3389/fpsyg.2019.02767</w:t>
        </w:r>
      </w:hyperlink>
    </w:p>
    <w:p w14:paraId="3BB8C8B8" w14:textId="77777777" w:rsidR="00D00685" w:rsidRPr="00E959BC" w:rsidRDefault="00D00685" w:rsidP="00E959BC">
      <w:pPr>
        <w:spacing w:after="160" w:line="278" w:lineRule="auto"/>
        <w:rPr>
          <w:color w:val="000000" w:themeColor="text1"/>
        </w:rPr>
      </w:pPr>
    </w:p>
    <w:p w14:paraId="24CD1198" w14:textId="46B413C0" w:rsidR="00DB4132" w:rsidRDefault="00DB4132" w:rsidP="00DB4132">
      <w:pPr>
        <w:pStyle w:val="Heading2"/>
      </w:pPr>
      <w:bookmarkStart w:id="7" w:name="_Toc221022978"/>
      <w:r>
        <w:lastRenderedPageBreak/>
        <w:t>Reproducibility Statement</w:t>
      </w:r>
      <w:bookmarkEnd w:id="7"/>
    </w:p>
    <w:p w14:paraId="6480FDA2" w14:textId="4E504E04" w:rsidR="004A5CC2" w:rsidRPr="004D7F16" w:rsidRDefault="00DB4132" w:rsidP="00DB4132">
      <w:r w:rsidRPr="004D7F16">
        <w:t xml:space="preserve">The statistical code used in this analysis is available </w:t>
      </w:r>
      <w:r w:rsidR="004A5CC2" w:rsidRPr="004D7F16">
        <w:t>on my GitHub under the Code directory at</w:t>
      </w:r>
      <w:r w:rsidRPr="004D7F16">
        <w:t xml:space="preserve">: </w:t>
      </w:r>
      <w:hyperlink r:id="rId24" w:history="1">
        <w:r w:rsidR="00A165A5" w:rsidRPr="004D7F16">
          <w:rPr>
            <w:rStyle w:val="Hyperlink"/>
          </w:rPr>
          <w:t>https://github.com/rysummers/BIOS6624-Class/tree/main/Project1</w:t>
        </w:r>
      </w:hyperlink>
    </w:p>
    <w:p w14:paraId="63A90F19" w14:textId="77777777" w:rsidR="00A64E53" w:rsidRPr="004D7F16" w:rsidRDefault="00A64E53" w:rsidP="00DB4132"/>
    <w:p w14:paraId="63D9042B" w14:textId="635E718B" w:rsidR="00DB4132" w:rsidRPr="004D7F16" w:rsidRDefault="00DB4132" w:rsidP="00DB4132">
      <w:r w:rsidRPr="004D7F16">
        <w:t>Raw data are not tracked in this repository and is available upon request.</w:t>
      </w:r>
    </w:p>
    <w:p w14:paraId="2CAA73F4" w14:textId="77777777" w:rsidR="00A64E53" w:rsidRPr="004D7F16" w:rsidRDefault="00A64E53" w:rsidP="00DB4132"/>
    <w:p w14:paraId="121137D0" w14:textId="7338FB5A" w:rsidR="00601513" w:rsidRPr="004D7F16" w:rsidRDefault="00601513" w:rsidP="00DB4132">
      <w:r w:rsidRPr="004D7F16">
        <w:t xml:space="preserve">Link to data on local drive: </w:t>
      </w:r>
      <w:r w:rsidR="007A611C" w:rsidRPr="004D7F16">
        <w:t>/Users/ryan_summers/GitHub/BIOS6624-Class/Project1/DataRaw/hiv_6624_final.csv</w:t>
      </w:r>
    </w:p>
    <w:p w14:paraId="124CBBCB" w14:textId="65C71CF0" w:rsidR="00DB4132" w:rsidRDefault="00DB4132" w:rsidP="00D01DA1">
      <w:pPr>
        <w:rPr>
          <w:color w:val="000000" w:themeColor="text1"/>
        </w:rPr>
      </w:pPr>
    </w:p>
    <w:p w14:paraId="1ACEABE9" w14:textId="7972E2DA" w:rsidR="009604D1" w:rsidRDefault="009604D1" w:rsidP="009604D1">
      <w:pPr>
        <w:pStyle w:val="Heading2"/>
      </w:pPr>
      <w:bookmarkStart w:id="8" w:name="_Supplementary"/>
      <w:bookmarkEnd w:id="8"/>
      <w:r>
        <w:t>S</w:t>
      </w:r>
      <w:r>
        <w:t>upplementary</w:t>
      </w:r>
    </w:p>
    <w:p w14:paraId="261CB5E0" w14:textId="2C9BF123" w:rsidR="0071418E" w:rsidRPr="004D7F16" w:rsidRDefault="0071418E" w:rsidP="0071418E">
      <w:r w:rsidRPr="004D7F16">
        <w:t xml:space="preserve">The </w:t>
      </w:r>
      <w:r>
        <w:t>supplementary files are located in</w:t>
      </w:r>
      <w:r w:rsidRPr="004D7F16">
        <w:t xml:space="preserve"> used in this analysis is available on my GitHub under the </w:t>
      </w:r>
      <w:r>
        <w:t>Reports</w:t>
      </w:r>
      <w:r w:rsidRPr="004D7F16">
        <w:t xml:space="preserve"> directory at: </w:t>
      </w:r>
      <w:hyperlink r:id="rId25" w:history="1">
        <w:r w:rsidRPr="0071418E">
          <w:rPr>
            <w:rStyle w:val="Hyperlink"/>
          </w:rPr>
          <w:t>https://github.com/rysummers/BIOS6624-Class/tree/main/Project1</w:t>
        </w:r>
      </w:hyperlink>
    </w:p>
    <w:p w14:paraId="2F1ED4DD" w14:textId="315DFC46" w:rsidR="0071418E" w:rsidRPr="0071418E" w:rsidRDefault="00093C07" w:rsidP="00093C07">
      <w:pPr>
        <w:pStyle w:val="ListParagraph"/>
        <w:numPr>
          <w:ilvl w:val="0"/>
          <w:numId w:val="8"/>
        </w:numPr>
      </w:pPr>
      <w:r>
        <w:t>Currently stores diagnostic plots for Bayesian models</w:t>
      </w:r>
    </w:p>
    <w:p w14:paraId="56CD3DF4" w14:textId="77777777" w:rsidR="009604D1" w:rsidRPr="00A966DB" w:rsidRDefault="009604D1" w:rsidP="00D01DA1">
      <w:pPr>
        <w:rPr>
          <w:color w:val="000000" w:themeColor="text1"/>
        </w:rPr>
      </w:pPr>
    </w:p>
    <w:sectPr w:rsidR="009604D1" w:rsidRPr="00A966DB" w:rsidSect="00527F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DFCC1" w14:textId="77777777" w:rsidR="00A94ECA" w:rsidRDefault="00A94ECA" w:rsidP="008C0761">
      <w:r>
        <w:separator/>
      </w:r>
    </w:p>
  </w:endnote>
  <w:endnote w:type="continuationSeparator" w:id="0">
    <w:p w14:paraId="1ED713C5" w14:textId="77777777" w:rsidR="00A94ECA" w:rsidRDefault="00A94ECA" w:rsidP="008C0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052CB" w14:textId="77777777" w:rsidR="00A94ECA" w:rsidRDefault="00A94ECA" w:rsidP="008C0761">
      <w:r>
        <w:separator/>
      </w:r>
    </w:p>
  </w:footnote>
  <w:footnote w:type="continuationSeparator" w:id="0">
    <w:p w14:paraId="300EA750" w14:textId="77777777" w:rsidR="00A94ECA" w:rsidRDefault="00A94ECA" w:rsidP="008C07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ACC3CEB"/>
    <w:multiLevelType w:val="multilevel"/>
    <w:tmpl w:val="80FA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211E6"/>
    <w:multiLevelType w:val="multilevel"/>
    <w:tmpl w:val="8AE6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DD2FEE"/>
    <w:multiLevelType w:val="multilevel"/>
    <w:tmpl w:val="0CF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B05D20"/>
    <w:multiLevelType w:val="hybridMultilevel"/>
    <w:tmpl w:val="BD448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6302049">
    <w:abstractNumId w:val="3"/>
  </w:num>
  <w:num w:numId="2" w16cid:durableId="1785618220">
    <w:abstractNumId w:val="4"/>
  </w:num>
  <w:num w:numId="3" w16cid:durableId="464080542">
    <w:abstractNumId w:val="6"/>
  </w:num>
  <w:num w:numId="4" w16cid:durableId="1792894366">
    <w:abstractNumId w:val="0"/>
  </w:num>
  <w:num w:numId="5" w16cid:durableId="2026983014">
    <w:abstractNumId w:val="5"/>
  </w:num>
  <w:num w:numId="6" w16cid:durableId="968242261">
    <w:abstractNumId w:val="2"/>
  </w:num>
  <w:num w:numId="7" w16cid:durableId="709039461">
    <w:abstractNumId w:val="1"/>
  </w:num>
  <w:num w:numId="8" w16cid:durableId="18489812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45B5"/>
    <w:rsid w:val="00004FB1"/>
    <w:rsid w:val="00013AD6"/>
    <w:rsid w:val="000176E7"/>
    <w:rsid w:val="00017A7C"/>
    <w:rsid w:val="00021236"/>
    <w:rsid w:val="0002461F"/>
    <w:rsid w:val="00026395"/>
    <w:rsid w:val="000271D0"/>
    <w:rsid w:val="000375A9"/>
    <w:rsid w:val="00043E24"/>
    <w:rsid w:val="00045D86"/>
    <w:rsid w:val="00053C01"/>
    <w:rsid w:val="0006081C"/>
    <w:rsid w:val="00061D15"/>
    <w:rsid w:val="000649B3"/>
    <w:rsid w:val="0006566F"/>
    <w:rsid w:val="00075130"/>
    <w:rsid w:val="000754E3"/>
    <w:rsid w:val="000809BC"/>
    <w:rsid w:val="00082864"/>
    <w:rsid w:val="000845C3"/>
    <w:rsid w:val="00085F10"/>
    <w:rsid w:val="000925B8"/>
    <w:rsid w:val="00093C07"/>
    <w:rsid w:val="0009741A"/>
    <w:rsid w:val="000A1602"/>
    <w:rsid w:val="000A4C8F"/>
    <w:rsid w:val="000A6BB5"/>
    <w:rsid w:val="000B2952"/>
    <w:rsid w:val="000B4DAE"/>
    <w:rsid w:val="000C6035"/>
    <w:rsid w:val="000C604F"/>
    <w:rsid w:val="000D0105"/>
    <w:rsid w:val="000D48A4"/>
    <w:rsid w:val="000D6D9B"/>
    <w:rsid w:val="000E0516"/>
    <w:rsid w:val="000E127F"/>
    <w:rsid w:val="000E5A3C"/>
    <w:rsid w:val="000F3484"/>
    <w:rsid w:val="000F4711"/>
    <w:rsid w:val="000F48BF"/>
    <w:rsid w:val="00101F00"/>
    <w:rsid w:val="00103BBE"/>
    <w:rsid w:val="00105C86"/>
    <w:rsid w:val="00107AA5"/>
    <w:rsid w:val="0011046D"/>
    <w:rsid w:val="001163BB"/>
    <w:rsid w:val="001218BD"/>
    <w:rsid w:val="001230AA"/>
    <w:rsid w:val="001271A1"/>
    <w:rsid w:val="0013279C"/>
    <w:rsid w:val="001454B1"/>
    <w:rsid w:val="00151539"/>
    <w:rsid w:val="00152D1D"/>
    <w:rsid w:val="00161343"/>
    <w:rsid w:val="00165A98"/>
    <w:rsid w:val="00170B50"/>
    <w:rsid w:val="00186BED"/>
    <w:rsid w:val="00190FCC"/>
    <w:rsid w:val="00196F7C"/>
    <w:rsid w:val="001979C9"/>
    <w:rsid w:val="00197EBE"/>
    <w:rsid w:val="001A08AB"/>
    <w:rsid w:val="001A5CDC"/>
    <w:rsid w:val="001C06BB"/>
    <w:rsid w:val="001C13B6"/>
    <w:rsid w:val="001C239C"/>
    <w:rsid w:val="001C4483"/>
    <w:rsid w:val="001C770D"/>
    <w:rsid w:val="001D1C94"/>
    <w:rsid w:val="001E3499"/>
    <w:rsid w:val="001E34E4"/>
    <w:rsid w:val="001E4297"/>
    <w:rsid w:val="001F732D"/>
    <w:rsid w:val="0020070A"/>
    <w:rsid w:val="00201E3C"/>
    <w:rsid w:val="00202B66"/>
    <w:rsid w:val="002116CE"/>
    <w:rsid w:val="00216171"/>
    <w:rsid w:val="00217A92"/>
    <w:rsid w:val="00217AC6"/>
    <w:rsid w:val="00221EEE"/>
    <w:rsid w:val="00222E24"/>
    <w:rsid w:val="00223054"/>
    <w:rsid w:val="00231F27"/>
    <w:rsid w:val="002338AA"/>
    <w:rsid w:val="0023493E"/>
    <w:rsid w:val="00236314"/>
    <w:rsid w:val="00240DDF"/>
    <w:rsid w:val="0024374A"/>
    <w:rsid w:val="00244B8C"/>
    <w:rsid w:val="00250318"/>
    <w:rsid w:val="002523AB"/>
    <w:rsid w:val="00254009"/>
    <w:rsid w:val="00260ACF"/>
    <w:rsid w:val="00265D16"/>
    <w:rsid w:val="00267F27"/>
    <w:rsid w:val="00273C1B"/>
    <w:rsid w:val="0027777D"/>
    <w:rsid w:val="0028319E"/>
    <w:rsid w:val="002838FE"/>
    <w:rsid w:val="00283FF8"/>
    <w:rsid w:val="00285908"/>
    <w:rsid w:val="0028788D"/>
    <w:rsid w:val="00287E31"/>
    <w:rsid w:val="00291A70"/>
    <w:rsid w:val="00293900"/>
    <w:rsid w:val="00297D35"/>
    <w:rsid w:val="002A1AEA"/>
    <w:rsid w:val="002A4793"/>
    <w:rsid w:val="002C47EA"/>
    <w:rsid w:val="002C6FA6"/>
    <w:rsid w:val="002D36C8"/>
    <w:rsid w:val="002F610B"/>
    <w:rsid w:val="00300F59"/>
    <w:rsid w:val="0031204B"/>
    <w:rsid w:val="003200BE"/>
    <w:rsid w:val="00323F11"/>
    <w:rsid w:val="00324480"/>
    <w:rsid w:val="00327852"/>
    <w:rsid w:val="00332BA4"/>
    <w:rsid w:val="00337343"/>
    <w:rsid w:val="00343783"/>
    <w:rsid w:val="00347515"/>
    <w:rsid w:val="00356382"/>
    <w:rsid w:val="003574A5"/>
    <w:rsid w:val="0036126A"/>
    <w:rsid w:val="00361EB3"/>
    <w:rsid w:val="00365339"/>
    <w:rsid w:val="00365A75"/>
    <w:rsid w:val="0037242C"/>
    <w:rsid w:val="00373454"/>
    <w:rsid w:val="00376247"/>
    <w:rsid w:val="0038616A"/>
    <w:rsid w:val="003862AE"/>
    <w:rsid w:val="00392D86"/>
    <w:rsid w:val="003951CC"/>
    <w:rsid w:val="003A07A8"/>
    <w:rsid w:val="003A17B1"/>
    <w:rsid w:val="003A694A"/>
    <w:rsid w:val="003B2C46"/>
    <w:rsid w:val="003B4E59"/>
    <w:rsid w:val="003B6708"/>
    <w:rsid w:val="003C1071"/>
    <w:rsid w:val="003C76B4"/>
    <w:rsid w:val="003D3432"/>
    <w:rsid w:val="003D60B1"/>
    <w:rsid w:val="003E02CE"/>
    <w:rsid w:val="003E02FF"/>
    <w:rsid w:val="003E0C04"/>
    <w:rsid w:val="003E1EB9"/>
    <w:rsid w:val="003E3A55"/>
    <w:rsid w:val="003E3AC1"/>
    <w:rsid w:val="003E64EA"/>
    <w:rsid w:val="003E7BDD"/>
    <w:rsid w:val="00401CD1"/>
    <w:rsid w:val="0040560D"/>
    <w:rsid w:val="00410369"/>
    <w:rsid w:val="004113EC"/>
    <w:rsid w:val="004205E4"/>
    <w:rsid w:val="00431F47"/>
    <w:rsid w:val="00433145"/>
    <w:rsid w:val="00433620"/>
    <w:rsid w:val="004362BC"/>
    <w:rsid w:val="00436CEC"/>
    <w:rsid w:val="00443397"/>
    <w:rsid w:val="00444FE5"/>
    <w:rsid w:val="00446CBC"/>
    <w:rsid w:val="00450F04"/>
    <w:rsid w:val="00457714"/>
    <w:rsid w:val="00465F1F"/>
    <w:rsid w:val="004665FD"/>
    <w:rsid w:val="00466E64"/>
    <w:rsid w:val="004700B2"/>
    <w:rsid w:val="004725DF"/>
    <w:rsid w:val="00472BC6"/>
    <w:rsid w:val="00481BB7"/>
    <w:rsid w:val="0049007E"/>
    <w:rsid w:val="00496160"/>
    <w:rsid w:val="004A5CC2"/>
    <w:rsid w:val="004B2C5B"/>
    <w:rsid w:val="004B3A73"/>
    <w:rsid w:val="004C10FC"/>
    <w:rsid w:val="004C3EEC"/>
    <w:rsid w:val="004C6B6A"/>
    <w:rsid w:val="004C70A9"/>
    <w:rsid w:val="004C7411"/>
    <w:rsid w:val="004D1600"/>
    <w:rsid w:val="004D1D0F"/>
    <w:rsid w:val="004D7F16"/>
    <w:rsid w:val="004F7D42"/>
    <w:rsid w:val="00507B1E"/>
    <w:rsid w:val="00511BBA"/>
    <w:rsid w:val="00512442"/>
    <w:rsid w:val="00513985"/>
    <w:rsid w:val="00513BAF"/>
    <w:rsid w:val="00520522"/>
    <w:rsid w:val="00520F4A"/>
    <w:rsid w:val="00527F7C"/>
    <w:rsid w:val="005319E9"/>
    <w:rsid w:val="00532040"/>
    <w:rsid w:val="00533B5E"/>
    <w:rsid w:val="00534F94"/>
    <w:rsid w:val="00542347"/>
    <w:rsid w:val="00546878"/>
    <w:rsid w:val="00552381"/>
    <w:rsid w:val="005546A7"/>
    <w:rsid w:val="00560993"/>
    <w:rsid w:val="0056373B"/>
    <w:rsid w:val="0056628E"/>
    <w:rsid w:val="005712B6"/>
    <w:rsid w:val="0057165C"/>
    <w:rsid w:val="00574FD1"/>
    <w:rsid w:val="00577D4B"/>
    <w:rsid w:val="00584FE1"/>
    <w:rsid w:val="00594181"/>
    <w:rsid w:val="005A02BB"/>
    <w:rsid w:val="005A0D54"/>
    <w:rsid w:val="005B1A35"/>
    <w:rsid w:val="005B301B"/>
    <w:rsid w:val="005B3098"/>
    <w:rsid w:val="005C0173"/>
    <w:rsid w:val="005C1D1A"/>
    <w:rsid w:val="005C38A5"/>
    <w:rsid w:val="005C6BBF"/>
    <w:rsid w:val="005D1627"/>
    <w:rsid w:val="005D3C0A"/>
    <w:rsid w:val="005D511E"/>
    <w:rsid w:val="005E10C3"/>
    <w:rsid w:val="005E140B"/>
    <w:rsid w:val="005E5D00"/>
    <w:rsid w:val="005E7EE9"/>
    <w:rsid w:val="005F1894"/>
    <w:rsid w:val="005F70DD"/>
    <w:rsid w:val="00601513"/>
    <w:rsid w:val="00606E91"/>
    <w:rsid w:val="00607303"/>
    <w:rsid w:val="00615880"/>
    <w:rsid w:val="00617B5F"/>
    <w:rsid w:val="006423D7"/>
    <w:rsid w:val="00642B54"/>
    <w:rsid w:val="00644986"/>
    <w:rsid w:val="00644C20"/>
    <w:rsid w:val="00647543"/>
    <w:rsid w:val="0065039D"/>
    <w:rsid w:val="00650C85"/>
    <w:rsid w:val="0065473D"/>
    <w:rsid w:val="00656BA2"/>
    <w:rsid w:val="006629A8"/>
    <w:rsid w:val="00663D7D"/>
    <w:rsid w:val="0066714A"/>
    <w:rsid w:val="00670995"/>
    <w:rsid w:val="006734D5"/>
    <w:rsid w:val="00685A65"/>
    <w:rsid w:val="00693388"/>
    <w:rsid w:val="00693860"/>
    <w:rsid w:val="006A4676"/>
    <w:rsid w:val="006B2FEB"/>
    <w:rsid w:val="006B3AF5"/>
    <w:rsid w:val="006B5220"/>
    <w:rsid w:val="006B6991"/>
    <w:rsid w:val="006B7D3E"/>
    <w:rsid w:val="006C13F5"/>
    <w:rsid w:val="006C2730"/>
    <w:rsid w:val="006C2CA5"/>
    <w:rsid w:val="006D1CA8"/>
    <w:rsid w:val="006D2F29"/>
    <w:rsid w:val="006E0C0F"/>
    <w:rsid w:val="006E0C7F"/>
    <w:rsid w:val="006E2858"/>
    <w:rsid w:val="006F0468"/>
    <w:rsid w:val="006F2069"/>
    <w:rsid w:val="006F3B4A"/>
    <w:rsid w:val="00700C4F"/>
    <w:rsid w:val="00701D84"/>
    <w:rsid w:val="00702208"/>
    <w:rsid w:val="00703D74"/>
    <w:rsid w:val="00704249"/>
    <w:rsid w:val="00707168"/>
    <w:rsid w:val="00713509"/>
    <w:rsid w:val="0071418E"/>
    <w:rsid w:val="007220A7"/>
    <w:rsid w:val="00730139"/>
    <w:rsid w:val="0073134B"/>
    <w:rsid w:val="00734E69"/>
    <w:rsid w:val="00740328"/>
    <w:rsid w:val="00744FF4"/>
    <w:rsid w:val="0075081B"/>
    <w:rsid w:val="007535C4"/>
    <w:rsid w:val="007636FA"/>
    <w:rsid w:val="00763930"/>
    <w:rsid w:val="00763D82"/>
    <w:rsid w:val="00764DDC"/>
    <w:rsid w:val="007672C0"/>
    <w:rsid w:val="00775A60"/>
    <w:rsid w:val="007771DC"/>
    <w:rsid w:val="00780F09"/>
    <w:rsid w:val="0078304B"/>
    <w:rsid w:val="00785CB9"/>
    <w:rsid w:val="00786988"/>
    <w:rsid w:val="00786F1B"/>
    <w:rsid w:val="007A0DD2"/>
    <w:rsid w:val="007A611C"/>
    <w:rsid w:val="007A769A"/>
    <w:rsid w:val="007B2228"/>
    <w:rsid w:val="007D689A"/>
    <w:rsid w:val="007D6B74"/>
    <w:rsid w:val="007D7CFA"/>
    <w:rsid w:val="007E29A5"/>
    <w:rsid w:val="007E5D79"/>
    <w:rsid w:val="007E7FF0"/>
    <w:rsid w:val="007F07C8"/>
    <w:rsid w:val="007F1310"/>
    <w:rsid w:val="00801431"/>
    <w:rsid w:val="0080687B"/>
    <w:rsid w:val="00812CD4"/>
    <w:rsid w:val="0082135C"/>
    <w:rsid w:val="00831ABD"/>
    <w:rsid w:val="00832BFD"/>
    <w:rsid w:val="00837DB4"/>
    <w:rsid w:val="00842729"/>
    <w:rsid w:val="00842E6F"/>
    <w:rsid w:val="0084405B"/>
    <w:rsid w:val="008447A9"/>
    <w:rsid w:val="0085097A"/>
    <w:rsid w:val="0085599C"/>
    <w:rsid w:val="008563FF"/>
    <w:rsid w:val="0086232E"/>
    <w:rsid w:val="0086582E"/>
    <w:rsid w:val="00867E5E"/>
    <w:rsid w:val="00873990"/>
    <w:rsid w:val="00884C80"/>
    <w:rsid w:val="0089272D"/>
    <w:rsid w:val="00893169"/>
    <w:rsid w:val="00897BAA"/>
    <w:rsid w:val="008A0852"/>
    <w:rsid w:val="008A0BA6"/>
    <w:rsid w:val="008A2C91"/>
    <w:rsid w:val="008B27D0"/>
    <w:rsid w:val="008B6CAD"/>
    <w:rsid w:val="008C0761"/>
    <w:rsid w:val="008C19F4"/>
    <w:rsid w:val="008D3248"/>
    <w:rsid w:val="008D5DA8"/>
    <w:rsid w:val="008D5E84"/>
    <w:rsid w:val="008E1CFB"/>
    <w:rsid w:val="008E5DF0"/>
    <w:rsid w:val="008E671F"/>
    <w:rsid w:val="008F0853"/>
    <w:rsid w:val="008F3058"/>
    <w:rsid w:val="008F6CA8"/>
    <w:rsid w:val="00907F8A"/>
    <w:rsid w:val="00913823"/>
    <w:rsid w:val="009175DC"/>
    <w:rsid w:val="0092270E"/>
    <w:rsid w:val="00923466"/>
    <w:rsid w:val="0092455F"/>
    <w:rsid w:val="009315C8"/>
    <w:rsid w:val="00932DF6"/>
    <w:rsid w:val="00936CAC"/>
    <w:rsid w:val="00940747"/>
    <w:rsid w:val="00945D59"/>
    <w:rsid w:val="00945D75"/>
    <w:rsid w:val="00950BF3"/>
    <w:rsid w:val="00951EBD"/>
    <w:rsid w:val="00953B15"/>
    <w:rsid w:val="009556BD"/>
    <w:rsid w:val="009604D1"/>
    <w:rsid w:val="009608B7"/>
    <w:rsid w:val="00962CA4"/>
    <w:rsid w:val="00962CEE"/>
    <w:rsid w:val="009641BF"/>
    <w:rsid w:val="00972596"/>
    <w:rsid w:val="00981E09"/>
    <w:rsid w:val="00995143"/>
    <w:rsid w:val="00996708"/>
    <w:rsid w:val="00997D47"/>
    <w:rsid w:val="009A3007"/>
    <w:rsid w:val="009A5A1A"/>
    <w:rsid w:val="009A6B93"/>
    <w:rsid w:val="009B13B6"/>
    <w:rsid w:val="009C5329"/>
    <w:rsid w:val="009D257B"/>
    <w:rsid w:val="009D550E"/>
    <w:rsid w:val="009E2542"/>
    <w:rsid w:val="009E7390"/>
    <w:rsid w:val="009F7F2A"/>
    <w:rsid w:val="00A106AB"/>
    <w:rsid w:val="00A120C8"/>
    <w:rsid w:val="00A165A5"/>
    <w:rsid w:val="00A16CC6"/>
    <w:rsid w:val="00A222C0"/>
    <w:rsid w:val="00A24095"/>
    <w:rsid w:val="00A24492"/>
    <w:rsid w:val="00A272B5"/>
    <w:rsid w:val="00A3037C"/>
    <w:rsid w:val="00A30E3E"/>
    <w:rsid w:val="00A349BB"/>
    <w:rsid w:val="00A46BF3"/>
    <w:rsid w:val="00A47AE3"/>
    <w:rsid w:val="00A51B8A"/>
    <w:rsid w:val="00A51ECE"/>
    <w:rsid w:val="00A54A6A"/>
    <w:rsid w:val="00A60B4C"/>
    <w:rsid w:val="00A64E53"/>
    <w:rsid w:val="00A65C67"/>
    <w:rsid w:val="00A669D2"/>
    <w:rsid w:val="00A70C89"/>
    <w:rsid w:val="00A72E93"/>
    <w:rsid w:val="00A732FC"/>
    <w:rsid w:val="00A91947"/>
    <w:rsid w:val="00A94ECA"/>
    <w:rsid w:val="00A95B4D"/>
    <w:rsid w:val="00A966DB"/>
    <w:rsid w:val="00A9772A"/>
    <w:rsid w:val="00A97810"/>
    <w:rsid w:val="00AA256E"/>
    <w:rsid w:val="00AA44AE"/>
    <w:rsid w:val="00AA5B2D"/>
    <w:rsid w:val="00AB182B"/>
    <w:rsid w:val="00AB5395"/>
    <w:rsid w:val="00AB64E3"/>
    <w:rsid w:val="00AB664C"/>
    <w:rsid w:val="00AD22CC"/>
    <w:rsid w:val="00AD576B"/>
    <w:rsid w:val="00AD6217"/>
    <w:rsid w:val="00AE7102"/>
    <w:rsid w:val="00AF1254"/>
    <w:rsid w:val="00AF5D95"/>
    <w:rsid w:val="00AF6A22"/>
    <w:rsid w:val="00B02FC6"/>
    <w:rsid w:val="00B030DC"/>
    <w:rsid w:val="00B13C73"/>
    <w:rsid w:val="00B14BD5"/>
    <w:rsid w:val="00B30D19"/>
    <w:rsid w:val="00B402ED"/>
    <w:rsid w:val="00B467F6"/>
    <w:rsid w:val="00B50E80"/>
    <w:rsid w:val="00B53856"/>
    <w:rsid w:val="00B55610"/>
    <w:rsid w:val="00B60B19"/>
    <w:rsid w:val="00B6272D"/>
    <w:rsid w:val="00B80D60"/>
    <w:rsid w:val="00B83485"/>
    <w:rsid w:val="00B94B1F"/>
    <w:rsid w:val="00B97AA7"/>
    <w:rsid w:val="00BA0141"/>
    <w:rsid w:val="00BA1B3D"/>
    <w:rsid w:val="00BA1C67"/>
    <w:rsid w:val="00BA2BDE"/>
    <w:rsid w:val="00BA39F1"/>
    <w:rsid w:val="00BA4744"/>
    <w:rsid w:val="00BA5967"/>
    <w:rsid w:val="00BA7190"/>
    <w:rsid w:val="00BA753B"/>
    <w:rsid w:val="00BB0DA3"/>
    <w:rsid w:val="00BB21E2"/>
    <w:rsid w:val="00BB3377"/>
    <w:rsid w:val="00BB4A47"/>
    <w:rsid w:val="00BC40E2"/>
    <w:rsid w:val="00BC66C4"/>
    <w:rsid w:val="00BC6E31"/>
    <w:rsid w:val="00BE31A6"/>
    <w:rsid w:val="00BE4046"/>
    <w:rsid w:val="00BE6FBE"/>
    <w:rsid w:val="00BE714A"/>
    <w:rsid w:val="00BE7551"/>
    <w:rsid w:val="00BF24CC"/>
    <w:rsid w:val="00BF3557"/>
    <w:rsid w:val="00BF5425"/>
    <w:rsid w:val="00BF756A"/>
    <w:rsid w:val="00C04FC6"/>
    <w:rsid w:val="00C052EB"/>
    <w:rsid w:val="00C0561A"/>
    <w:rsid w:val="00C05674"/>
    <w:rsid w:val="00C059F9"/>
    <w:rsid w:val="00C11D8B"/>
    <w:rsid w:val="00C12AF3"/>
    <w:rsid w:val="00C24D8A"/>
    <w:rsid w:val="00C25CE8"/>
    <w:rsid w:val="00C31869"/>
    <w:rsid w:val="00C3399E"/>
    <w:rsid w:val="00C34ED6"/>
    <w:rsid w:val="00C35883"/>
    <w:rsid w:val="00C40449"/>
    <w:rsid w:val="00C444F8"/>
    <w:rsid w:val="00C52870"/>
    <w:rsid w:val="00C56766"/>
    <w:rsid w:val="00C56F37"/>
    <w:rsid w:val="00C5730A"/>
    <w:rsid w:val="00C57CF8"/>
    <w:rsid w:val="00C611AB"/>
    <w:rsid w:val="00C61D50"/>
    <w:rsid w:val="00C66037"/>
    <w:rsid w:val="00C74C1C"/>
    <w:rsid w:val="00C94922"/>
    <w:rsid w:val="00CA420F"/>
    <w:rsid w:val="00CB142B"/>
    <w:rsid w:val="00CB3DCC"/>
    <w:rsid w:val="00CC1D54"/>
    <w:rsid w:val="00CC20A2"/>
    <w:rsid w:val="00CC3FCE"/>
    <w:rsid w:val="00CC542F"/>
    <w:rsid w:val="00CD2FCE"/>
    <w:rsid w:val="00CD3969"/>
    <w:rsid w:val="00CE524B"/>
    <w:rsid w:val="00CE691D"/>
    <w:rsid w:val="00CF408A"/>
    <w:rsid w:val="00CF5ADD"/>
    <w:rsid w:val="00D00685"/>
    <w:rsid w:val="00D01DA1"/>
    <w:rsid w:val="00D10F54"/>
    <w:rsid w:val="00D1101B"/>
    <w:rsid w:val="00D1430E"/>
    <w:rsid w:val="00D147BB"/>
    <w:rsid w:val="00D16B58"/>
    <w:rsid w:val="00D20D81"/>
    <w:rsid w:val="00D22069"/>
    <w:rsid w:val="00D22907"/>
    <w:rsid w:val="00D27FA2"/>
    <w:rsid w:val="00D375BA"/>
    <w:rsid w:val="00D44E12"/>
    <w:rsid w:val="00D56EE3"/>
    <w:rsid w:val="00D67C98"/>
    <w:rsid w:val="00D71144"/>
    <w:rsid w:val="00D73C79"/>
    <w:rsid w:val="00D7641F"/>
    <w:rsid w:val="00D82765"/>
    <w:rsid w:val="00D827FF"/>
    <w:rsid w:val="00D858F5"/>
    <w:rsid w:val="00D90861"/>
    <w:rsid w:val="00D91ABC"/>
    <w:rsid w:val="00D96111"/>
    <w:rsid w:val="00DA27E8"/>
    <w:rsid w:val="00DA2F5D"/>
    <w:rsid w:val="00DA7AF0"/>
    <w:rsid w:val="00DB4132"/>
    <w:rsid w:val="00DB5296"/>
    <w:rsid w:val="00DB5AE1"/>
    <w:rsid w:val="00DB64B1"/>
    <w:rsid w:val="00DC05F0"/>
    <w:rsid w:val="00DD10B4"/>
    <w:rsid w:val="00DD1540"/>
    <w:rsid w:val="00DD3450"/>
    <w:rsid w:val="00DD652D"/>
    <w:rsid w:val="00DE56F0"/>
    <w:rsid w:val="00DF3314"/>
    <w:rsid w:val="00DF4015"/>
    <w:rsid w:val="00DF528E"/>
    <w:rsid w:val="00DF5320"/>
    <w:rsid w:val="00DF7F47"/>
    <w:rsid w:val="00E0073C"/>
    <w:rsid w:val="00E07106"/>
    <w:rsid w:val="00E12F58"/>
    <w:rsid w:val="00E1649B"/>
    <w:rsid w:val="00E17A6C"/>
    <w:rsid w:val="00E21892"/>
    <w:rsid w:val="00E2457F"/>
    <w:rsid w:val="00E3018A"/>
    <w:rsid w:val="00E31008"/>
    <w:rsid w:val="00E33ABE"/>
    <w:rsid w:val="00E35826"/>
    <w:rsid w:val="00E36448"/>
    <w:rsid w:val="00E45B40"/>
    <w:rsid w:val="00E57B6D"/>
    <w:rsid w:val="00E637E7"/>
    <w:rsid w:val="00E64CAF"/>
    <w:rsid w:val="00E65051"/>
    <w:rsid w:val="00E71140"/>
    <w:rsid w:val="00E72120"/>
    <w:rsid w:val="00E83597"/>
    <w:rsid w:val="00E85CAC"/>
    <w:rsid w:val="00E94055"/>
    <w:rsid w:val="00E959BC"/>
    <w:rsid w:val="00E96081"/>
    <w:rsid w:val="00E96377"/>
    <w:rsid w:val="00EA1E00"/>
    <w:rsid w:val="00EA657B"/>
    <w:rsid w:val="00EA691D"/>
    <w:rsid w:val="00EA7ADD"/>
    <w:rsid w:val="00EB3271"/>
    <w:rsid w:val="00EB33A7"/>
    <w:rsid w:val="00EB4BA7"/>
    <w:rsid w:val="00ED0E62"/>
    <w:rsid w:val="00ED5457"/>
    <w:rsid w:val="00ED6C0B"/>
    <w:rsid w:val="00EE61A8"/>
    <w:rsid w:val="00EF5627"/>
    <w:rsid w:val="00F043C8"/>
    <w:rsid w:val="00F047DA"/>
    <w:rsid w:val="00F04C46"/>
    <w:rsid w:val="00F07B84"/>
    <w:rsid w:val="00F106CE"/>
    <w:rsid w:val="00F161CF"/>
    <w:rsid w:val="00F30AF9"/>
    <w:rsid w:val="00F30C70"/>
    <w:rsid w:val="00F32411"/>
    <w:rsid w:val="00F41DCA"/>
    <w:rsid w:val="00F422D8"/>
    <w:rsid w:val="00F52DD2"/>
    <w:rsid w:val="00F57B2F"/>
    <w:rsid w:val="00F62B5E"/>
    <w:rsid w:val="00F65CAB"/>
    <w:rsid w:val="00F66C2A"/>
    <w:rsid w:val="00F67304"/>
    <w:rsid w:val="00F71BDE"/>
    <w:rsid w:val="00F74395"/>
    <w:rsid w:val="00F76D53"/>
    <w:rsid w:val="00F81D7B"/>
    <w:rsid w:val="00F82D8A"/>
    <w:rsid w:val="00F83F86"/>
    <w:rsid w:val="00F847A8"/>
    <w:rsid w:val="00F9146E"/>
    <w:rsid w:val="00F94306"/>
    <w:rsid w:val="00F955F3"/>
    <w:rsid w:val="00F9688B"/>
    <w:rsid w:val="00F96C2E"/>
    <w:rsid w:val="00FA4F6D"/>
    <w:rsid w:val="00FA79A4"/>
    <w:rsid w:val="00FA7D62"/>
    <w:rsid w:val="00FB08FC"/>
    <w:rsid w:val="00FB2C5D"/>
    <w:rsid w:val="00FB5C68"/>
    <w:rsid w:val="00FB6019"/>
    <w:rsid w:val="00FB74D0"/>
    <w:rsid w:val="00FC06DB"/>
    <w:rsid w:val="00FC592A"/>
    <w:rsid w:val="00FD2BDC"/>
    <w:rsid w:val="00FE4A37"/>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4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p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sz w:val="28"/>
      <w:szCs w:val="28"/>
    </w:rPr>
  </w:style>
  <w:style w:type="paragraph" w:styleId="TOC2">
    <w:name w:val="toc 2"/>
    <w:basedOn w:val="Normal"/>
    <w:next w:val="Normal"/>
    <w:autoRedefine/>
    <w:uiPriority w:val="39"/>
    <w:unhideWhenUsed/>
    <w:rsid w:val="00A65C67"/>
    <w:pPr>
      <w:spacing w:before="120"/>
      <w:ind w:left="240"/>
    </w:pPr>
    <w:rPr>
      <w:b/>
      <w:bCs/>
      <w:sz w:val="22"/>
      <w:szCs w:val="22"/>
    </w:rPr>
  </w:style>
  <w:style w:type="paragraph" w:styleId="TOC1">
    <w:name w:val="toc 1"/>
    <w:basedOn w:val="Normal"/>
    <w:next w:val="Normal"/>
    <w:autoRedefine/>
    <w:uiPriority w:val="39"/>
    <w:semiHidden/>
    <w:unhideWhenUsed/>
    <w:rsid w:val="00A65C67"/>
    <w:pPr>
      <w:spacing w:before="120"/>
    </w:pPr>
    <w:rPr>
      <w:b/>
      <w:bCs/>
      <w:i/>
      <w:iCs/>
    </w:rPr>
  </w:style>
  <w:style w:type="paragraph" w:styleId="TOC3">
    <w:name w:val="toc 3"/>
    <w:basedOn w:val="Normal"/>
    <w:next w:val="Normal"/>
    <w:autoRedefine/>
    <w:uiPriority w:val="39"/>
    <w:semiHidden/>
    <w:unhideWhenUsed/>
    <w:rsid w:val="00A65C67"/>
    <w:pPr>
      <w:ind w:left="480"/>
    </w:pPr>
    <w:rPr>
      <w:sz w:val="20"/>
      <w:szCs w:val="20"/>
    </w:rPr>
  </w:style>
  <w:style w:type="paragraph" w:styleId="TOC4">
    <w:name w:val="toc 4"/>
    <w:basedOn w:val="Normal"/>
    <w:next w:val="Normal"/>
    <w:autoRedefine/>
    <w:uiPriority w:val="39"/>
    <w:semiHidden/>
    <w:unhideWhenUsed/>
    <w:rsid w:val="00A65C67"/>
    <w:pPr>
      <w:ind w:left="720"/>
    </w:pPr>
    <w:rPr>
      <w:sz w:val="20"/>
      <w:szCs w:val="20"/>
    </w:rPr>
  </w:style>
  <w:style w:type="paragraph" w:styleId="TOC5">
    <w:name w:val="toc 5"/>
    <w:basedOn w:val="Normal"/>
    <w:next w:val="Normal"/>
    <w:autoRedefine/>
    <w:uiPriority w:val="39"/>
    <w:semiHidden/>
    <w:unhideWhenUsed/>
    <w:rsid w:val="00A65C67"/>
    <w:pPr>
      <w:ind w:left="960"/>
    </w:pPr>
    <w:rPr>
      <w:sz w:val="20"/>
      <w:szCs w:val="20"/>
    </w:rPr>
  </w:style>
  <w:style w:type="paragraph" w:styleId="TOC6">
    <w:name w:val="toc 6"/>
    <w:basedOn w:val="Normal"/>
    <w:next w:val="Normal"/>
    <w:autoRedefine/>
    <w:uiPriority w:val="39"/>
    <w:semiHidden/>
    <w:unhideWhenUsed/>
    <w:rsid w:val="00A65C67"/>
    <w:pPr>
      <w:ind w:left="1200"/>
    </w:pPr>
    <w:rPr>
      <w:sz w:val="20"/>
      <w:szCs w:val="20"/>
    </w:rPr>
  </w:style>
  <w:style w:type="paragraph" w:styleId="TOC7">
    <w:name w:val="toc 7"/>
    <w:basedOn w:val="Normal"/>
    <w:next w:val="Normal"/>
    <w:autoRedefine/>
    <w:uiPriority w:val="39"/>
    <w:semiHidden/>
    <w:unhideWhenUsed/>
    <w:rsid w:val="00A65C67"/>
    <w:pPr>
      <w:ind w:left="1440"/>
    </w:pPr>
    <w:rPr>
      <w:sz w:val="20"/>
      <w:szCs w:val="20"/>
    </w:rPr>
  </w:style>
  <w:style w:type="paragraph" w:styleId="TOC8">
    <w:name w:val="toc 8"/>
    <w:basedOn w:val="Normal"/>
    <w:next w:val="Normal"/>
    <w:autoRedefine/>
    <w:uiPriority w:val="39"/>
    <w:semiHidden/>
    <w:unhideWhenUsed/>
    <w:rsid w:val="00A65C67"/>
    <w:pPr>
      <w:ind w:left="1680"/>
    </w:pPr>
    <w:rPr>
      <w:sz w:val="20"/>
      <w:szCs w:val="20"/>
    </w:rPr>
  </w:style>
  <w:style w:type="paragraph" w:styleId="TOC9">
    <w:name w:val="toc 9"/>
    <w:basedOn w:val="Normal"/>
    <w:next w:val="Normal"/>
    <w:autoRedefine/>
    <w:uiPriority w:val="39"/>
    <w:semiHidden/>
    <w:unhideWhenUsed/>
    <w:rsid w:val="00A65C67"/>
    <w:pPr>
      <w:ind w:left="1920"/>
    </w:pPr>
    <w:rPr>
      <w:sz w:val="20"/>
      <w:szCs w:val="20"/>
    </w:rPr>
  </w:style>
  <w:style w:type="paragraph" w:customStyle="1" w:styleId="p1">
    <w:name w:val="p1"/>
    <w:basedOn w:val="Normal"/>
    <w:rsid w:val="00E36448"/>
    <w:pPr>
      <w:spacing w:before="100" w:beforeAutospacing="1" w:after="100" w:afterAutospacing="1"/>
    </w:pPr>
  </w:style>
  <w:style w:type="character" w:customStyle="1" w:styleId="s1">
    <w:name w:val="s1"/>
    <w:basedOn w:val="DefaultParagraphFont"/>
    <w:rsid w:val="00E36448"/>
  </w:style>
  <w:style w:type="character" w:styleId="FollowedHyperlink">
    <w:name w:val="FollowedHyperlink"/>
    <w:basedOn w:val="DefaultParagraphFont"/>
    <w:uiPriority w:val="99"/>
    <w:semiHidden/>
    <w:unhideWhenUsed/>
    <w:rsid w:val="00A165A5"/>
    <w:rPr>
      <w:color w:val="96607D" w:themeColor="followedHyperlink"/>
      <w:u w:val="single"/>
    </w:rPr>
  </w:style>
  <w:style w:type="paragraph" w:customStyle="1" w:styleId="p2">
    <w:name w:val="p2"/>
    <w:basedOn w:val="Normal"/>
    <w:rsid w:val="00CA420F"/>
    <w:pPr>
      <w:spacing w:before="100" w:beforeAutospacing="1" w:after="100" w:afterAutospacing="1"/>
    </w:pPr>
  </w:style>
  <w:style w:type="paragraph" w:styleId="HTMLPreformatted">
    <w:name w:val="HTML Preformatted"/>
    <w:basedOn w:val="Normal"/>
    <w:link w:val="HTMLPreformattedChar"/>
    <w:uiPriority w:val="99"/>
    <w:semiHidden/>
    <w:unhideWhenUsed/>
    <w:rsid w:val="00DF52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F528E"/>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DF528E"/>
  </w:style>
  <w:style w:type="paragraph" w:styleId="Header">
    <w:name w:val="header"/>
    <w:basedOn w:val="Normal"/>
    <w:link w:val="HeaderChar"/>
    <w:uiPriority w:val="99"/>
    <w:unhideWhenUsed/>
    <w:rsid w:val="008C0761"/>
    <w:pPr>
      <w:tabs>
        <w:tab w:val="center" w:pos="4680"/>
        <w:tab w:val="right" w:pos="9360"/>
      </w:tabs>
    </w:pPr>
  </w:style>
  <w:style w:type="character" w:customStyle="1" w:styleId="HeaderChar">
    <w:name w:val="Header Char"/>
    <w:basedOn w:val="DefaultParagraphFont"/>
    <w:link w:val="Header"/>
    <w:uiPriority w:val="99"/>
    <w:rsid w:val="008C0761"/>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C0761"/>
    <w:pPr>
      <w:tabs>
        <w:tab w:val="center" w:pos="4680"/>
        <w:tab w:val="right" w:pos="9360"/>
      </w:tabs>
    </w:pPr>
  </w:style>
  <w:style w:type="character" w:customStyle="1" w:styleId="FooterChar">
    <w:name w:val="Footer Char"/>
    <w:basedOn w:val="DefaultParagraphFont"/>
    <w:link w:val="Footer"/>
    <w:uiPriority w:val="99"/>
    <w:rsid w:val="008C0761"/>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clark.github.io/easy-bayes/model-diagnostics.htm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8637/jss.v080.i0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is-stats.github.io/lessons/model_assessment/model_comparison_in_practice.html" TargetMode="External"/><Relationship Id="rId25" Type="http://schemas.openxmlformats.org/officeDocument/2006/relationships/hyperlink" Target="https://github.com/rysummers/BIOS6624-Class/tree/main/Project1" TargetMode="External"/><Relationship Id="rId2" Type="http://schemas.openxmlformats.org/officeDocument/2006/relationships/numbering" Target="numbering.xml"/><Relationship Id="rId16" Type="http://schemas.openxmlformats.org/officeDocument/2006/relationships/hyperlink" Target="https://doi.org/10.1016/j.joms.2022.04.019" TargetMode="External"/><Relationship Id="rId20" Type="http://schemas.openxmlformats.org/officeDocument/2006/relationships/hyperlink" Target="https://easystats.github.io/bayestestR/reference/sexi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rysummers/BIOS6624-Class/tree/main/Project1" TargetMode="External"/><Relationship Id="rId5" Type="http://schemas.openxmlformats.org/officeDocument/2006/relationships/webSettings" Target="webSettings.xml"/><Relationship Id="rId15" Type="http://schemas.openxmlformats.org/officeDocument/2006/relationships/hyperlink" Target="https://doi.org/10.1037/a0016972" TargetMode="External"/><Relationship Id="rId23" Type="http://schemas.openxmlformats.org/officeDocument/2006/relationships/hyperlink" Target="https://doi.org/10.3389/fpsyg.2019.02767" TargetMode="External"/><Relationship Id="rId10" Type="http://schemas.openxmlformats.org/officeDocument/2006/relationships/image" Target="media/image3.png"/><Relationship Id="rId19" Type="http://schemas.openxmlformats.org/officeDocument/2006/relationships/hyperlink" Target="https://bookdown.org/marklhc/notes_bookdown/model-diagnostic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ran.r-project.org/web/packages/bayesplot/vignettes/plotting-mcmc-draws.html" TargetMode="External"/><Relationship Id="rId22" Type="http://schemas.openxmlformats.org/officeDocument/2006/relationships/hyperlink" Target="https://doi.org/10.21105/joss.0154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Pages>
  <Words>2825</Words>
  <Characters>17092</Characters>
  <Application>Microsoft Office Word</Application>
  <DocSecurity>0</DocSecurity>
  <Lines>348</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7</cp:revision>
  <dcterms:created xsi:type="dcterms:W3CDTF">2026-03-02T06:21:00Z</dcterms:created>
  <dcterms:modified xsi:type="dcterms:W3CDTF">2026-03-02T06:51:00Z</dcterms:modified>
</cp:coreProperties>
</file>