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D0AC" w14:textId="200A6CE0" w:rsidR="00785291" w:rsidRPr="004E0A5B" w:rsidRDefault="00F729E2" w:rsidP="004E0A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4E0A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0ADE44B5" w14:textId="572A5B28" w:rsidR="00785291" w:rsidRDefault="00F729E2" w:rsidP="004E0A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ПАТЕНТ И РЕГИСТРАЦИЯ НА ПОЛЕЗНИ МОДЕЛИ И ПРОМИШЛЕН ДИЗАЙН</w:t>
      </w:r>
    </w:p>
    <w:p w14:paraId="0EF7F576" w14:textId="77777777" w:rsidR="004E0A5B" w:rsidRDefault="004E0A5B" w:rsidP="004E0A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E8EBA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Нематериалните блага представляват резултатите, получени от интелектуалната човешка дейност, обективирани в някакъв материален носител.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Появата на нематериалното благо представлява цялостен процес, който обхваща поне следните две стъпки: на първо място, фо</w:t>
      </w:r>
      <w:r>
        <w:rPr>
          <w:rFonts w:ascii="Times New Roman" w:eastAsia="Times New Roman" w:hAnsi="Times New Roman" w:cs="Times New Roman"/>
          <w:sz w:val="24"/>
          <w:szCs w:val="24"/>
        </w:rPr>
        <w:t>рмирането на психологическо ниво на идея за създаването на конкретното нематериално благо и на второ място – неговото закрепване в материален, веществен носител. Това е моментът, в който нематериалните блага стават част от социалната действителност и за 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хния титуляр възниква закрилата, която получава от позитивното право.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Горното важи с пълна сила за авторското право и сродните му права.</w:t>
      </w:r>
    </w:p>
    <w:p w14:paraId="3FB6272C" w14:textId="77777777" w:rsidR="00785291" w:rsidRDefault="0078529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09A644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Не така, обаче стоят нещата с обектите на индустриалната собственост. За да възникнат те, е необходима още една предпо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ставка, а именно – да бъдат признати като такива от правния ред. Обектите на индустриална собственост за разлика от обектите на авторското право и сродните му права, подлежат на регистрация от нарочен държавен орган (в Република България това е Патентно ве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домство), който осъществява правната закрила върху обектите на индустриална собственост.</w:t>
      </w:r>
    </w:p>
    <w:p w14:paraId="6F3C4C07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3D93C3" w14:textId="77777777" w:rsidR="00785291" w:rsidRDefault="00F729E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Същност на обектите на индустриална собственост. Характеристика на правата върху обектите на индустриална собственост.</w:t>
      </w:r>
    </w:p>
    <w:p w14:paraId="105A9D59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531C65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Както беше посочено по-горе,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обектите на индус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триална собственост въплъщават нематериални блага. Те не са вещи,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макар субективното право върху обекта на индустриална собственост по своята природа да се доближава най-вече до субективното право на собственост. Вещите представляват самостоятелни веществе</w:t>
      </w:r>
      <w:r>
        <w:rPr>
          <w:rFonts w:ascii="Times New Roman" w:eastAsia="Times New Roman" w:hAnsi="Times New Roman" w:cs="Times New Roman"/>
          <w:sz w:val="24"/>
          <w:szCs w:val="24"/>
        </w:rPr>
        <w:t>ни неща. Характеризират се с материалност, могат да бъдат телесно възприети. Така не са вещи нещата, които имат мислено съществуване, пък макар и съдържащи се в материален носител, в това число и обектите на индустриална собственост.</w:t>
      </w:r>
    </w:p>
    <w:p w14:paraId="32755052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97168E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На първо място, по св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оите характеристики правото върху обектите на индустриалната собственост в голяма степен се доближава до правото на собственост.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Също като него то е сложно, абсолютно и изключително право. Така, от една страна,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правото върху обектите на индустриална собств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еност дава възможност на своя носител да владее, да използва и да се разпорежда с конкретния обект на индустриална собственост. От друга страна, правото върху обектите на индустриална собственост установява задължение за всички останали правни субекти да н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е го нарушават.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Затова го определяме като абсолютно. На трето място, правото върху обектите на индустриална собственост е „монополно“ (изключително) право. Това означава, че никой друг не може да реализира правомощията, произтичащи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него,освен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титуляря 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и последният може да забрани използването на обекта на индустриална собственост от другите правни субекти. Ето защо може да се каже, че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носителят на правото върху обект на индустриална собственост има пълна правна и фактическа власт върху него – може да </w:t>
      </w:r>
      <w:r>
        <w:rPr>
          <w:rFonts w:ascii="Times New Roman" w:eastAsia="Times New Roman" w:hAnsi="Times New Roman" w:cs="Times New Roman"/>
          <w:sz w:val="24"/>
          <w:szCs w:val="24"/>
        </w:rPr>
        <w:t>върши всичко, което не му е забранено от правния ред – да го владее, използва, да се разпореди с него и да забрани на трети- те лица да ги използват без негово съгласие.</w:t>
      </w:r>
    </w:p>
    <w:p w14:paraId="14492B57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следващо място, правото върху обектите на индустриална собственост има двояка приро</w:t>
      </w:r>
      <w:r>
        <w:rPr>
          <w:rFonts w:ascii="Times New Roman" w:eastAsia="Times New Roman" w:hAnsi="Times New Roman" w:cs="Times New Roman"/>
          <w:sz w:val="24"/>
          <w:szCs w:val="24"/>
        </w:rPr>
        <w:t>да. То съдържа в себе си две групи правомощия – неимуществени и имуществени. Първата група правомощия са, макар и малобройни, строго лични и поради това – неотделими от своя носител. Към групата на неимуществените права спадат: правото на авторство върху и</w:t>
      </w:r>
      <w:r>
        <w:rPr>
          <w:rFonts w:ascii="Times New Roman" w:eastAsia="Times New Roman" w:hAnsi="Times New Roman" w:cs="Times New Roman"/>
          <w:sz w:val="24"/>
          <w:szCs w:val="24"/>
        </w:rPr>
        <w:t>зобретението или полезния модел, правото на авторство върху промишления дизайн, правото на авторство върху сорт или порода животни.</w:t>
      </w:r>
    </w:p>
    <w:p w14:paraId="561075B5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807712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Втората група правомощия – имуществените, са следните: възможността на титуляря да използва обекта на индустриална собствен</w:t>
      </w:r>
      <w:r>
        <w:rPr>
          <w:rFonts w:ascii="Times New Roman" w:eastAsia="Times New Roman" w:hAnsi="Times New Roman" w:cs="Times New Roman"/>
          <w:sz w:val="24"/>
          <w:szCs w:val="24"/>
        </w:rPr>
        <w:t>ост; да разреши използването му от трети лица (като предоставя изключителна или неизключителна лицензия); да акумулира плодовете (доходите), които обектът на индустриална собственост носи; да извършва разпоредителни действия с обекта на индустриална собств</w:t>
      </w:r>
      <w:r>
        <w:rPr>
          <w:rFonts w:ascii="Times New Roman" w:eastAsia="Times New Roman" w:hAnsi="Times New Roman" w:cs="Times New Roman"/>
          <w:sz w:val="24"/>
          <w:szCs w:val="24"/>
        </w:rPr>
        <w:t>еност; да забрани използването му без негово съгласие.</w:t>
      </w:r>
    </w:p>
    <w:p w14:paraId="6B64D0F7" w14:textId="77777777" w:rsidR="00785291" w:rsidRDefault="0078529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B1955C" w14:textId="77777777" w:rsidR="00785291" w:rsidRDefault="00F729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Прехвърляне на права върху обектите на индустриална собственост</w:t>
      </w:r>
    </w:p>
    <w:p w14:paraId="58BBA730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Основен белег на обектите на индустриална собственост е, че те притежават имуществена стойност, определена цена.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Този техен признак се д</w:t>
      </w:r>
      <w:r>
        <w:rPr>
          <w:rFonts w:ascii="Times New Roman" w:eastAsia="Times New Roman" w:hAnsi="Times New Roman" w:cs="Times New Roman"/>
          <w:sz w:val="24"/>
          <w:szCs w:val="24"/>
        </w:rPr>
        <w:t>ължи на факта, че възникването им е плод от често многогодишна интелектуална дейност и влагането на значителни парични средства за тяхното създаване. Ето защо нормално е притежателите на права върху обектите на индустриална собственост да желаят да извлека</w:t>
      </w:r>
      <w:r>
        <w:rPr>
          <w:rFonts w:ascii="Times New Roman" w:eastAsia="Times New Roman" w:hAnsi="Times New Roman" w:cs="Times New Roman"/>
          <w:sz w:val="24"/>
          <w:szCs w:val="24"/>
        </w:rPr>
        <w:t>т печалба от тях.</w:t>
      </w:r>
    </w:p>
    <w:p w14:paraId="3209C231" w14:textId="77777777" w:rsidR="00785291" w:rsidRDefault="0078529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B9EE7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Правомощията, съдържащи се в правото върху обектите на индустриална собственост, имат преобладаващо имуществен характер. Тази особеност дава възможност търговската марка, изобретението, промишленият дизайн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да бъдат включени в гражд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анския оборот. Това може да стане по различни начини. Така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обектите на индустриална собственост могат да бъдат обект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прехвърлителни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възмездни сделки (покупко-продажба, замяна) или на безвъзмездни сделки (дарение); на лицензионни договори; могат да бъдат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обект на непарична вноска (апорт) в капитала на търговските дружества; могат да бъдат обект на особен залог; да са част от наследствената маса и т.н.</w:t>
      </w:r>
    </w:p>
    <w:p w14:paraId="2ABBDA3D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B0133B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Следва да се отбележи, че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правото върху географско означение (наименование за произход и географско указ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ание) не може да се прехвърля</w:t>
      </w:r>
      <w:r>
        <w:rPr>
          <w:rFonts w:ascii="Times New Roman" w:eastAsia="Times New Roman" w:hAnsi="Times New Roman" w:cs="Times New Roman"/>
          <w:sz w:val="24"/>
          <w:szCs w:val="24"/>
        </w:rPr>
        <w:t>. Причината е в спецификата на правото върху този обект на индустриална собственост – то се свежда единствено във възможността за ползване на географското означение от вписания ползвател. Последният не притежава правото върху г</w:t>
      </w:r>
      <w:r>
        <w:rPr>
          <w:rFonts w:ascii="Times New Roman" w:eastAsia="Times New Roman" w:hAnsi="Times New Roman" w:cs="Times New Roman"/>
          <w:sz w:val="24"/>
          <w:szCs w:val="24"/>
        </w:rPr>
        <w:t>еографското означение и не може да се разпорежда с него под каквато и да е форма. Идеята на тази забрана е в недопускането на установяване на монополно положение – всеки производител, който произвежда своята продукция в определената като географско означен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ие територия, ако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отговаря на изискванията, може да се впише като негов ползвател и да поставя по подходящ начин върху стоките, за които е регистрирано географското означение и които произвежда. Все пак забраната за прехвърляне на правото на ползване върху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този вид обект на индустриална собственост не е абсолютна. Тя може да бъде преодоляна по пътя на придобиване на търговското предприятие или при преобразуване на търговското дружество, вписано като ползвател. Така на негово място ще възникне нов правен суб</w:t>
      </w:r>
      <w:r>
        <w:rPr>
          <w:rFonts w:ascii="Times New Roman" w:eastAsia="Times New Roman" w:hAnsi="Times New Roman" w:cs="Times New Roman"/>
          <w:sz w:val="24"/>
          <w:szCs w:val="24"/>
        </w:rPr>
        <w:t>ект, който има право да поиска вписване като нов ползвател на географското означение.</w:t>
      </w:r>
    </w:p>
    <w:p w14:paraId="14DE7356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FB66DC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оглед това дали прехвърлянето на правото върху обекта на индустриална собственост настъпва по волята на неговия притежател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правопроменящият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юридически факт настъпв</w:t>
      </w:r>
      <w:r>
        <w:rPr>
          <w:rFonts w:ascii="Times New Roman" w:eastAsia="Times New Roman" w:hAnsi="Times New Roman" w:cs="Times New Roman"/>
          <w:sz w:val="24"/>
          <w:szCs w:val="24"/>
        </w:rPr>
        <w:t>а по силата на закона, можем да разграничим договорно  прехвърляне и прехвърляне по силата на закона.</w:t>
      </w:r>
    </w:p>
    <w:p w14:paraId="2BA5DDBD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387102" w14:textId="77777777" w:rsidR="00785291" w:rsidRDefault="00F729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Договорно прехвърляне на правата върху обектите на индустриална</w:t>
      </w:r>
    </w:p>
    <w:p w14:paraId="315408EF" w14:textId="77777777" w:rsidR="00785291" w:rsidRDefault="00F729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собственост.</w:t>
      </w:r>
    </w:p>
    <w:p w14:paraId="7FE77CEE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При договорното прехвърляне на обектите на индустриална собственост, в завис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имост от това колко са страните, които правят волеизявление, се различават двустранни и едностранни сделки.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двустранните сделки правото върху съответния обект на индустриална собственост се прехвърля от един субект, наречен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прехвърлител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на друг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субект</w:t>
      </w:r>
      <w:r>
        <w:rPr>
          <w:rFonts w:ascii="Times New Roman" w:eastAsia="Times New Roman" w:hAnsi="Times New Roman" w:cs="Times New Roman"/>
          <w:sz w:val="24"/>
          <w:szCs w:val="24"/>
        </w:rPr>
        <w:t>,обозначаван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като приобретател срещу определена цена. Договорът за прехвърляне на правото върху обект на индустриална собственост представлява възмездна,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консенсуална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сделка, тъй като, за да прояви облигационно-вещното си действие, не се изисква фактическо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предаване на обекта на индустриална собственост. ; каузална сделка, защото за сключването винаги се изисква основание, причина, поради която се сключва. 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тази връзка следва да се постави въпросът формален ли е договорът за прехвърляне на ОИ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С? В правната </w:t>
      </w:r>
      <w:r>
        <w:rPr>
          <w:rFonts w:ascii="Times New Roman" w:eastAsia="Times New Roman" w:hAnsi="Times New Roman" w:cs="Times New Roman"/>
          <w:sz w:val="24"/>
          <w:szCs w:val="24"/>
        </w:rPr>
        <w:t>теория се различават три основни вида форми на сделките:</w:t>
      </w:r>
    </w:p>
    <w:p w14:paraId="6EB0BAEE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004210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При първата група сделки спазването на изискванията за форма е въздигнато като предпоставка за тяхната действителност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Формата на сделките се определя от императивни правни норми, т. е. когато законът предвижда квалифициран начин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обективиране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волята </w:t>
      </w:r>
      <w:r>
        <w:rPr>
          <w:rFonts w:ascii="Times New Roman" w:eastAsia="Times New Roman" w:hAnsi="Times New Roman" w:cs="Times New Roman"/>
          <w:sz w:val="24"/>
          <w:szCs w:val="24"/>
        </w:rPr>
        <w:t>на страните по сделката.</w:t>
      </w:r>
    </w:p>
    <w:p w14:paraId="5DF30E31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745859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Въпреки това, горното не води до извода, че договорът за прехвърляне на правото върху ОИС е неформален.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една страна, в доста случаи, макар да не е поставил като изискване за валидност на договора писмената форма, законодателят </w:t>
      </w:r>
      <w:r>
        <w:rPr>
          <w:rFonts w:ascii="Times New Roman" w:eastAsia="Times New Roman" w:hAnsi="Times New Roman" w:cs="Times New Roman"/>
          <w:sz w:val="24"/>
          <w:szCs w:val="24"/>
        </w:rPr>
        <w:t>е ограничил възможността за доказване на някои факти и обстоятелства, като е предвидил форма за доказване. Това са процесуалните пречки за доказването, предвидени основно в чл. 164 от ГПК. От друга страна, има множество случаи, при които е налице изискване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даден договор да бъде сключен в писмена форма, за да могат от него да се черпят възражения срещу трети лица, които не са страни по договора. В тази хипотеза безспорно попадат и договорите за прехвърляне на права върху ОИС – чл. 21, ал. 5 от ЗМГО, чл. 24,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ал. 4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ЗПрД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Така, макар за последните изрично да не е предвидена писмена форма за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валидност, то те са формални от гл. т. на обстоятелствата, които се доказват с тях и във връзка с тяхната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противопоставимост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6E336A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B71E43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Договорът за прехвърляне на правата върху об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ект на индустриалната собственост следва да притежава всички необходими елементи на обикновения договор за покупко-продажба, уреден в ЗЗД</w:t>
      </w:r>
      <w:r>
        <w:rPr>
          <w:rFonts w:ascii="Times New Roman" w:eastAsia="Times New Roman" w:hAnsi="Times New Roman" w:cs="Times New Roman"/>
          <w:sz w:val="24"/>
          <w:szCs w:val="24"/>
        </w:rPr>
        <w:t>. Така съществените елементи при този вид договори са: валидни волеизявления на страните; основание за сключване на дог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овора (кауза); предмет на договора (прехвърлянето на правата); обект (необходима е индивидуализация на ОИС посредством неговия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номер) и типичните права и задължения на страните.</w:t>
      </w:r>
    </w:p>
    <w:p w14:paraId="5C109F05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B162E1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договора за прехвърляне могат да се уговорят и допълнителни условия (т. нар. несъществени елементи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accidentalia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negotii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примерно за срок, условие, относно начина на плащане на цената и пр. Липсата на допълнителните условия по договора не води до не</w:t>
      </w:r>
      <w:r>
        <w:rPr>
          <w:rFonts w:ascii="Times New Roman" w:eastAsia="Times New Roman" w:hAnsi="Times New Roman" w:cs="Times New Roman"/>
          <w:sz w:val="24"/>
          <w:szCs w:val="24"/>
        </w:rPr>
        <w:t>говата недействителност.</w:t>
      </w:r>
    </w:p>
    <w:p w14:paraId="242AFFF9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Тук следва да се посочат някои особености при прехвърлянето на правото върху обектите на индустриална собственост. При търговската марка като обект на индустриална собственост договорът за покупко-продажба може да има за предмет пр</w:t>
      </w:r>
      <w:r>
        <w:rPr>
          <w:rFonts w:ascii="Times New Roman" w:eastAsia="Times New Roman" w:hAnsi="Times New Roman" w:cs="Times New Roman"/>
          <w:sz w:val="24"/>
          <w:szCs w:val="24"/>
        </w:rPr>
        <w:t>ехвърлянето на правото върху марката само за един или няколко, а не за всички класове стоки и/или услуги, за които е регистрирана марката.</w:t>
      </w:r>
    </w:p>
    <w:p w14:paraId="20AAA9B5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3D4BB6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Второ,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прехвърлянето на правото върху марка подлежи на вписване в Държавния регистър на марките, воден от Патентно в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едомство</w:t>
      </w:r>
      <w:r>
        <w:rPr>
          <w:rFonts w:ascii="Times New Roman" w:eastAsia="Times New Roman" w:hAnsi="Times New Roman" w:cs="Times New Roman"/>
          <w:sz w:val="24"/>
          <w:szCs w:val="24"/>
        </w:rPr>
        <w:t>. Вписването на прехвърлянето е част от охранително-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регистърно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производство. То започва по искане на заинтересуваните лица (правен интерес да искат вписване имат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прехвърлителя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приобретателя). В производството се извършва първоначална проверка на </w:t>
      </w:r>
      <w:r>
        <w:rPr>
          <w:rFonts w:ascii="Times New Roman" w:eastAsia="Times New Roman" w:hAnsi="Times New Roman" w:cs="Times New Roman"/>
          <w:sz w:val="24"/>
          <w:szCs w:val="24"/>
        </w:rPr>
        <w:t>формалните изисквания към искането (заплатена ли е дължимата държавна такса, приложено ли е пълномощно, когато искането е подадено чрез представител по индустриална собственост), проверка по същество и завършва с разпореждане на председателя на Патентно 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домство за извършване на вписването, респективно– с мотивиран отказ, ако са налице предпоставките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това.Режимът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прехвърлянето на правото върху изобретението и полезния модел е подобен на прехвърлянето на търговските марки. Същевременно при този вид об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екти на индустриална собственост съществуват известни особености. Те са свързани първо с правото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преждеползване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правото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послеползване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изобретенията, респ. на полезния модел.</w:t>
      </w:r>
    </w:p>
    <w:p w14:paraId="208E5F7C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F1CDC6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Правото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преждеползване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правото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послеползване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могат да се прехв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ърлят. Това обаче може да стане само в случай, че изобретението, респ. полезния модел е част от предприятието на правния субект, който упражнява правото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преждеползване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правото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послеползване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Ето защо законът изисква прехвърлянето в този случай 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 извърши като се прехвърли цялото или част от предприятието при условие, че упражняването на тези специфични субективни права се извършва само в рамките на прехвърленото предприятие.</w:t>
      </w:r>
    </w:p>
    <w:p w14:paraId="276FE179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29AFCF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Втората специфика е свързана с т. нар. паралелни заявки.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Позитивното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право допуска едновременното съществуване на изобретение и полезен модел, които имат общ предмет от областта на техниката.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Паралелните заявки се използват основно, когато заявителят за регистрация на патент иска да се гарантира, че изобретението му ще полу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чи правна закрила, дори да не отговаря на изискванията за получаване на патент за изобретение, като за тази цел подава едновременно и заявка за регистрация на полезен модел, където не се извършва експертиза по същество. Правото на паралелно заявяване може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 бъде предявено до изтичането на два месеца от датата на получаване на решението по заявката за патент. Особеното при прехвърлянето на паралелните заявки е свързано с това, че прехвърлянето на правото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вър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единия обект на индустриална собственост (изо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бретение или полезен модел), регистриран при условията на паралелно заявяване,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води до прехвърляне на правото и върху другия обект на индустриална собственост, дори правото върху единия обект на индустриална собственост да е възникнало преди правот</w:t>
      </w:r>
      <w:r>
        <w:rPr>
          <w:rFonts w:ascii="Times New Roman" w:eastAsia="Times New Roman" w:hAnsi="Times New Roman" w:cs="Times New Roman"/>
          <w:sz w:val="24"/>
          <w:szCs w:val="24"/>
        </w:rPr>
        <w:t>о върху другия обект на индустриална собственост.</w:t>
      </w:r>
    </w:p>
    <w:p w14:paraId="7C4A4B4C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379E2A" w14:textId="77777777" w:rsidR="00785291" w:rsidRDefault="00F729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Прехвърляне на обектите на индустриална собственост чрез замяна</w:t>
      </w:r>
    </w:p>
    <w:p w14:paraId="75BB9F53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 законодателството, регулиращо режима на обектите на индустриална собственост не съществува изрична забрана за начина, по който може да бъде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прехвърлен даден обект на индустриална собственост. Ето защо няма пречка търговската марка, изобретението, промишленият дизайн и пр. да бъдат прехвърлени посредством замяна</w:t>
      </w:r>
      <w:r>
        <w:rPr>
          <w:rFonts w:ascii="Times New Roman" w:eastAsia="Times New Roman" w:hAnsi="Times New Roman" w:cs="Times New Roman"/>
          <w:sz w:val="24"/>
          <w:szCs w:val="24"/>
        </w:rPr>
        <w:t>. Покупко-продажбата и замяната като способи за прехвърляне на вещни права са сходн</w:t>
      </w:r>
      <w:r>
        <w:rPr>
          <w:rFonts w:ascii="Times New Roman" w:eastAsia="Times New Roman" w:hAnsi="Times New Roman" w:cs="Times New Roman"/>
          <w:sz w:val="24"/>
          <w:szCs w:val="24"/>
        </w:rPr>
        <w:t>и. И двата са двустранни и възмездни. Разликата е в характера на престациите. Докато при покупко-продажбата продавачът прехвърля собствеността върху обекта на индустриална собственост, а купувачът заплаща уговорената цена, то при замяната двете страни вина</w:t>
      </w:r>
      <w:r>
        <w:rPr>
          <w:rFonts w:ascii="Times New Roman" w:eastAsia="Times New Roman" w:hAnsi="Times New Roman" w:cs="Times New Roman"/>
          <w:sz w:val="24"/>
          <w:szCs w:val="24"/>
        </w:rPr>
        <w:t>ги взаимно си прехвърлят права. В конкретния случай, от една страна винаги правото върху нематериалното благо, инкорпорирано в обекта на индустриална собственост, а от друга – вещ, имуществени права, друго нематериално благо. Тъй като сходството между поку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пко-продажбата и замяната явка за регистрация на промишлен дизайн да бъдат включени няколко дизайна, ако продуктите, в които са включени или към които са приложени дизайните, принадлежат към един клас на Международната класификация на промишлените дизайни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съгласно Спогодбата от Локарно или към един и същ комплект или композиция от изделия. При прехвърляне на промишлен дизайн, регистриран при условията на множествена заявка, прехвърлянето може да има за предмет както всички, така и отделни дизайни, включени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нея. При промишления дизайн, подобно на изобретенията и полезните модели, също е признато право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преждеползване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върху промишлен дизайн, което се прехвърля само заедно с търговското предприятие, в което е възникнало.</w:t>
      </w:r>
    </w:p>
    <w:p w14:paraId="39DC2CD6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Правните последици на вписването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прехвърлянето на обектите върху индустриална собственост в съответния Държавния регистър (на марките, на патентите, на полезните модели, на промишления дизайн и т. н.) имат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оповестително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доказателствено действие. Смисълът на вписването е, че прехвърлянет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има действие за третите лица от момента на вписването му в Държавния регистър, т. е. преди вписването договорът за прехвърляне на съответния обект на индустриална собственост не може да се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противопостави на трети лица, придобили права върху същия обект н</w:t>
      </w:r>
      <w:r>
        <w:rPr>
          <w:rFonts w:ascii="Times New Roman" w:eastAsia="Times New Roman" w:hAnsi="Times New Roman" w:cs="Times New Roman"/>
          <w:sz w:val="24"/>
          <w:szCs w:val="24"/>
        </w:rPr>
        <w:t>а индустриална собственост.</w:t>
      </w:r>
    </w:p>
    <w:p w14:paraId="4EB0E6FB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9A11D5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Не на последно място, прехвърляне на право върху обект на индустриална собственост може да се извърши не само тогава, когато той бъде регистриран, но и в процеса на неговата регистрация, т. е. не е налице обект на индустриална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собственост, но има редовно подадена заявка за неговата регистрация. </w:t>
      </w:r>
      <w:r>
        <w:rPr>
          <w:rFonts w:ascii="Times New Roman" w:eastAsia="Times New Roman" w:hAnsi="Times New Roman" w:cs="Times New Roman"/>
          <w:sz w:val="24"/>
          <w:szCs w:val="24"/>
        </w:rPr>
        <w:t>Причината за признаването на това „квази право“ върху обектите на индустриална собственост се корени в закрилата, която трябва да се осигури на титуляря на един бъдещ обект на индустриалн</w:t>
      </w:r>
      <w:r>
        <w:rPr>
          <w:rFonts w:ascii="Times New Roman" w:eastAsia="Times New Roman" w:hAnsi="Times New Roman" w:cs="Times New Roman"/>
          <w:sz w:val="24"/>
          <w:szCs w:val="24"/>
        </w:rPr>
        <w:t>а собственост. Разбира се, тази правна закрила е ограничена, не е абсолютна и монополна. Заявителят притежава само две правомощия: да използва обекта на индустриална собственост и да се разпорежда с него, но не и да забрани на трети лица да го използват бе</w:t>
      </w:r>
      <w:r>
        <w:rPr>
          <w:rFonts w:ascii="Times New Roman" w:eastAsia="Times New Roman" w:hAnsi="Times New Roman" w:cs="Times New Roman"/>
          <w:sz w:val="24"/>
          <w:szCs w:val="24"/>
        </w:rPr>
        <w:t>з неговото съгласие.</w:t>
      </w:r>
    </w:p>
    <w:p w14:paraId="78AB12BC" w14:textId="77777777" w:rsidR="00785291" w:rsidRDefault="00F729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FAA7F6" w14:textId="77777777" w:rsidR="00785291" w:rsidRDefault="00F729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Прехвърляне на обектите на индустриална собственост чрез дарение</w:t>
      </w:r>
    </w:p>
    <w:p w14:paraId="0C0A7757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Дарението е друг способ за прехвърляне на права върху обекти на индустриална собственост. В договорната теория е възприето схващането, че то представлява едностранен бе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звъзмезден договор.</w:t>
      </w:r>
    </w:p>
    <w:p w14:paraId="0890F876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986EA8" w14:textId="77777777" w:rsidR="00785291" w:rsidRDefault="00F729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Следва да се има предвид, че този способ за прехвърляне на право върху обект на индустриалната собственост е строго формален и договорът за дарение трябва да бъде в писмена форма с нотариална заверка на подписите. </w:t>
      </w:r>
    </w:p>
    <w:p w14:paraId="3ED9E7D1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9F0D06" w14:textId="77777777" w:rsidR="00785291" w:rsidRDefault="00F729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Обектите на индустр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иална собственост като част от капитала на търговските дружества</w:t>
      </w:r>
    </w:p>
    <w:p w14:paraId="18C37FB1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Обектите на индустриална собственост имат определена стойност.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някои случаи тя е съществена, в други – по-незначителна.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Имущественият характер на обектите на индустриалната собственост обуславя тяхната парична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оценяемост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 поради което те са годни да бъдат непарични вноски в капитала на търговските дружества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в ООД/ЕООД, АД/ЕАД и КДА (чл. 72 и 73 от ТЗ). Те съставляват акти</w:t>
      </w:r>
      <w:r>
        <w:rPr>
          <w:rFonts w:ascii="Times New Roman" w:eastAsia="Times New Roman" w:hAnsi="Times New Roman" w:cs="Times New Roman"/>
          <w:sz w:val="24"/>
          <w:szCs w:val="24"/>
        </w:rPr>
        <w:t>вите на капиталовите търговски дружества. Такава е константната съдебна практика. Непаричните вноски се оценяват по реда на чл. 72, ал. 2 от ТЗ и тяхната стойност се вписва в активите на баланса на капитала на дружеството.</w:t>
      </w:r>
    </w:p>
    <w:p w14:paraId="1F065AFB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DD1311" w14:textId="77777777" w:rsidR="00785291" w:rsidRDefault="00F729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Прехвърляне на обектите на индус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триална собственост по силата на закона</w:t>
      </w:r>
    </w:p>
    <w:p w14:paraId="293162BF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болшинството от случаите на прехвърляне на изключителни права върху обекти на индустриална собственост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правопроменящият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юридически факт настъпва по волята на страните. Има, обаче хипотези, при които преминаването 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изключителното право от един в друг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патримониум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става не доброволно, а по силата на закона.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Типични примери са преобразуването на търговските дружества и наследяването.</w:t>
      </w:r>
    </w:p>
    <w:p w14:paraId="66A5FE9E" w14:textId="77777777" w:rsidR="00785291" w:rsidRDefault="00F729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Прехвърляне на обектите на индустриална собственост при преобразуване на търговците</w:t>
      </w:r>
    </w:p>
    <w:p w14:paraId="0925ED4F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преобразуване на търговските дружества се стига с оглед реорганизация на тяхната структура – окрупняване, отделяне или разделяне на дружеството.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При промяната на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правно-организационната форма на търговските дружества (вливане, сливане, разделяне и отделя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не)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налице универсално правоприемство,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при което имуществените права и задължения (в цялост) или дялове от тях на един правен субект преминават към друг правен субект.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Към правоприемника преминават и имуществените права върху притежаваните от праводателя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обекти на индустриална собственост.</w:t>
      </w:r>
    </w:p>
    <w:p w14:paraId="0F0DB77C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Типичен случай на прехвърляне на права върху обекти на индустриална собственост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 налице при прехвърлянето на търговското предприятие на търговеца в цялост. В случая търговското предприятие се прехвърля като съв</w:t>
      </w:r>
      <w:r>
        <w:rPr>
          <w:rFonts w:ascii="Times New Roman" w:eastAsia="Times New Roman" w:hAnsi="Times New Roman" w:cs="Times New Roman"/>
          <w:sz w:val="24"/>
          <w:szCs w:val="24"/>
        </w:rPr>
        <w:t>купност от имуществени права, задължения и фактически отношения, т. е. налице е универсално правоприемство.</w:t>
      </w:r>
    </w:p>
    <w:p w14:paraId="1C44C3FA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1EFC94" w14:textId="77777777" w:rsidR="00785291" w:rsidRDefault="00F729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Обектите на индустриална собственост като част от масата на наследството</w:t>
      </w:r>
    </w:p>
    <w:p w14:paraId="60CC7A6D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Със смъртта на едно лице се погасяват неговите политически, семейни и чисто личните права. Повечето от имуществените права (т. е. онези права, които са оценими в пари), обаче, продължават своето съществуване в гражданския оборот</w:t>
      </w:r>
      <w:r>
        <w:rPr>
          <w:rFonts w:ascii="Times New Roman" w:eastAsia="Times New Roman" w:hAnsi="Times New Roman" w:cs="Times New Roman"/>
          <w:sz w:val="24"/>
          <w:szCs w:val="24"/>
        </w:rPr>
        <w:t>. Продължават да съществуват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онези имуществени задължения, които не са чисто лични. Сборът от тези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патримониални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права и задължения образуват една правна съвкупност, наречена наследство.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Тази правна съвкупност преминава чрез универсална сукцесия (правоприемство, наследяване) върху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нов правен субект – наследника на починалото лице.</w:t>
      </w:r>
    </w:p>
    <w:p w14:paraId="1F819E70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A7E54F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Единственото изключение от групата на обектите на индустриална собственост са географските означения. Те не могат да бъдат наследявани поради естеството на своята правна същност, тъй като при тях говорим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единствено за право на ползване.</w:t>
      </w:r>
    </w:p>
    <w:p w14:paraId="2614F180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818143" w14:textId="77777777" w:rsidR="00785291" w:rsidRDefault="00F729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Обектите на индустриална собственост като обект на принудително изпълнение по общия ред на ГПК</w:t>
      </w:r>
    </w:p>
    <w:p w14:paraId="5F489EEF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Българското законодателство, регулиращо обществените отношения по повод индустриалната собственост изрично предвижда, че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търгов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ските марки, патентът за изобретение, полезният модел и промишленият дизайн могат да бъдат обект на особен залог. </w:t>
      </w:r>
      <w:r>
        <w:rPr>
          <w:rFonts w:ascii="Times New Roman" w:eastAsia="Times New Roman" w:hAnsi="Times New Roman" w:cs="Times New Roman"/>
          <w:sz w:val="24"/>
          <w:szCs w:val="24"/>
        </w:rPr>
        <w:t>Новите сортове растения и породи животни, както и топологиите на интегралните схеми също могат да бъдат обекти на особен залог.</w:t>
      </w:r>
    </w:p>
    <w:p w14:paraId="00062E7D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При принудител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ното изпълнение върху обектите на индустриална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собственост,които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са обект на особен залог, не са налице практически трудности. При неизпълнение на обезпеченото по реда на ЗОЗ задължение, заложният кредитор може да пристъпи директно към удовлетворяване на с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воето вземане.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му е необходимо нарочно изпълнително основание, директно преминава към публична продажба на заложеното имущество.</w:t>
      </w:r>
    </w:p>
    <w:p w14:paraId="083227F6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33C4D7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Не така стоят нещата при принудителното изпълнение върху права върху обектите на индустриална собственост по общия ред</w:t>
      </w:r>
      <w:r>
        <w:rPr>
          <w:rFonts w:ascii="Times New Roman" w:eastAsia="Times New Roman" w:hAnsi="Times New Roman" w:cs="Times New Roman"/>
          <w:sz w:val="24"/>
          <w:szCs w:val="24"/>
        </w:rPr>
        <w:t>. ГПК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предвижда различни изпълнителни способи в зависимост от предмета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притезанието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което следва да се изпълни принудително.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Изпълнението на парични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притезания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е насочено към осребряване имуществото на длъжника, което обхваща различни права – материални (дв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ижими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и недвижими вещи, средства за производство и т. н. ) и нематериални (авторски и сродни права, права върху марки, изобретения, промишлени дизайни и пр.). </w:t>
      </w:r>
      <w:r>
        <w:rPr>
          <w:rFonts w:ascii="Times New Roman" w:eastAsia="Times New Roman" w:hAnsi="Times New Roman" w:cs="Times New Roman"/>
          <w:sz w:val="24"/>
          <w:szCs w:val="24"/>
        </w:rPr>
        <w:t>Така в зависимост от вида имущество, към което е насочено принудителното изпълнение, са уредени р</w:t>
      </w:r>
      <w:r>
        <w:rPr>
          <w:rFonts w:ascii="Times New Roman" w:eastAsia="Times New Roman" w:hAnsi="Times New Roman" w:cs="Times New Roman"/>
          <w:sz w:val="24"/>
          <w:szCs w:val="24"/>
        </w:rPr>
        <w:t>азлични изпълнителни способи: изпълнение върху движими вещи; изпълнение върху недвижими вещи; изпълнение върху вещи съпружеска имуществена общност; изпълнение върху вземания на длъжника. Както приема Върховният съд в тълкувателната си практика, по своето е</w:t>
      </w:r>
      <w:r>
        <w:rPr>
          <w:rFonts w:ascii="Times New Roman" w:eastAsia="Times New Roman" w:hAnsi="Times New Roman" w:cs="Times New Roman"/>
          <w:sz w:val="24"/>
          <w:szCs w:val="24"/>
        </w:rPr>
        <w:t>стество всеки изпълнителен способ представлява особен изпълнителен процес, който се урежда от важащите само за него особени правила.</w:t>
      </w:r>
    </w:p>
    <w:p w14:paraId="68131D46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5704C7" w14:textId="77777777" w:rsidR="00785291" w:rsidRDefault="00F729E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Действително процесуалният закон не предвижда изричен ред за принудително удовлетворяване на кредитора от притежаваните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неговия длъжник обекти на индустриална собственост.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 тази връзка резонно е да се поставят няколко въпроса: първо, могат ли изобщо обектите на индустриална собственост да бъдат обект на принудително изпълнение по ГПК? Второ, възможно ли е при липса на изр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ично уреден изпълнителен способ да се приложат по аналогия правилата на друг способ за изпълнение?</w:t>
      </w:r>
    </w:p>
    <w:p w14:paraId="655F21B4" w14:textId="77777777" w:rsidR="00785291" w:rsidRDefault="007852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1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162"/>
      </w:tblGrid>
      <w:tr w:rsidR="00785291" w14:paraId="14C24333" w14:textId="77777777">
        <w:tc>
          <w:tcPr>
            <w:tcW w:w="9162" w:type="dxa"/>
          </w:tcPr>
          <w:p w14:paraId="0D9CE750" w14:textId="77777777" w:rsidR="00785291" w:rsidRDefault="00F729E2">
            <w:pPr>
              <w:spacing w:after="28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ИЗОБРЕТЕНИЯ И ПОЛЕЗНИ МОДЕЛИ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Патенти се издават за изобретения, които са нови, имат изобретателско равнище и са промишлено приложими.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>Не се считат за изобре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тения: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>• открития, научни теории и идеи;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>• математически методи и формули;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>• резултати от художествено творчество;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 xml:space="preserve">• планове, правила и методи за интелектуална дейност, за игри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>или делова дейност;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>• програми за електронноизчислителни машини;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>• представяне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на информация.</w:t>
            </w:r>
          </w:p>
          <w:p w14:paraId="57629146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Патенти се издават за полезни модели, които са нови и промишлено приложими.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Закрила се предоставя на обекти с конструктивно-технически особености, отнасящи се до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усъвършенствуване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на конструкцията, формата или пространственото съчетаване 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елементите на изделия, инструменти, устройства, апарати или техните части, материали и други с производствено или битово предназначение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B6C0085" w14:textId="77777777" w:rsidR="00785291" w:rsidRDefault="00785291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795CE334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Срок на действие на патент за изобретение: до 20 години от датата на подаване на заявката.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 xml:space="preserve">Срок на действие на патент за полезен модел: 10 години от датата на подаване на заявката. </w:t>
            </w:r>
          </w:p>
          <w:p w14:paraId="7B852983" w14:textId="77777777" w:rsidR="00785291" w:rsidRDefault="00F729E2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Кратко описание на процедурата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Заявяване: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Заявките за патент се подават в Патентното ведомство на България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Чуждите заявители извършват действия пред ведомство чрез представител по индустриална собственост.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Експертиза: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Експертният отдел проверява дали заявката отговаря на формалните изисквания. Ко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гато те се изпълнени се извършва експертиза по същество (материална) на базата на претенциите, описанието и чертежите.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</w:r>
          </w:p>
          <w:p w14:paraId="3E968EE3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Публикации: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Заявките се публикуват в Официалния Бюлетин на Патентното ведомство на България задължително след изтичането на 18 месец от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датата на подаване, съответно приоритетната дата. Тази публикация има сила на временна защита срещу трети лица, в случай че се издаде патент.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Прави се публикация също за всеки издаден патент. И за двете публикации и за издаването на патент се дължат такси.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Необходими документи и информация за да се запази датата на подаване на заявка. Заявките се представят на български език и съдържат следните документи: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 заявление за издаване на патент, съдържащ пълното име, адрес и гражданство на заявителите и изобретат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елите;</w:t>
            </w:r>
          </w:p>
          <w:p w14:paraId="30F45D87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описание на изобретението, разкриващо най-малко неговата същност, една или повече претенции, реферат;</w:t>
            </w:r>
          </w:p>
          <w:p w14:paraId="29B4CD53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чертежи, ако са необходими за поясняване на изобретението;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 декларация и приоритетно свидетелство, когато се претендира приоритет;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 пълномощн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 за представителя по индустриална собственост, подписано и подпечатано от заявителя;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 такса за заявяване, платени такси за експертиза, за претенции, за претендиран приоритет и за публикация на заявката.</w:t>
            </w:r>
          </w:p>
          <w:p w14:paraId="1835B55B" w14:textId="77777777" w:rsidR="00785291" w:rsidRDefault="00F729E2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Когато заявката се подава на друг език, датата на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одаване се запазва, ако в тримесечен срок от тази дата се представят на български език.</w:t>
            </w:r>
          </w:p>
          <w:p w14:paraId="5F7B337B" w14:textId="77777777" w:rsidR="00785291" w:rsidRDefault="00F729E2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472E435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ПРОМИШЛЕН ДИЗАЙН</w:t>
            </w:r>
          </w:p>
          <w:p w14:paraId="16A975A9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Промишленият дизайн е видимият външен вид на продукт или на част от него, определен от особеностите на формата, линиите, рисунъка, орнаментите, цвето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вото съчетание или комбинация от тях. Продукт е всяко изделие, получено по промишлен или занаятчийски начин, включително части, предназначени за сглобяване в съставно изделие, комплект или композиция от изделия, опаковки,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графични символи и печатни шрифтов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е.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Правото върху дизайн се придобива чрез регистрацията му в Патентното ведомство. Дизайнът се регистрира, ако е нов и оригинален. Патентното ведомство издава сертификат.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E1394E8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Срок на действие на регистрацията:</w:t>
            </w:r>
          </w:p>
          <w:p w14:paraId="5044712E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10 години от датата на подаване на заявката. Реги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страцията може да се поднови за три последователни периода от по 5 години.</w:t>
            </w:r>
          </w:p>
          <w:p w14:paraId="6CB6D6F0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 описание на процедурата</w:t>
            </w:r>
          </w:p>
          <w:p w14:paraId="3D609E3D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Подаване на заявка:</w:t>
            </w:r>
          </w:p>
          <w:p w14:paraId="3EA3571D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Заявката за регистрация се подава в Патентното ведомство.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Чуждите заявители извършват действия пред ведомство чрез представител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индустриална собственост.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Експертиза: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Всяка заявка се проверява дали отговаря на формалните изисквания. Когато те са изпълнени, се извършва експертиза по същество в срок от една година.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Когато се установи, че заявеният обект или част от него може да се 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гистрира се взема решение за регистрация.</w:t>
            </w:r>
          </w:p>
          <w:p w14:paraId="1B51BBEB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Регистрация: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Промишленият дизайн се вписва в Държавния регистър на промишлените дизайни и се издава свидетелство за регистриран дизайн.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Заплащат се такси за публикация и издаване на свидетелство за регистриран диз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айн.</w:t>
            </w:r>
          </w:p>
          <w:p w14:paraId="29A2EBAE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МАРКИ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Марките са знаци, които са способни да отличават стоките и услугите на едно лице от тези на друго и могат да се представят графично. Такива знаци могат да бъдат думи, включително имена на хора, букви, цифри, рисунки, формата на стоката или нейна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та опаковка, комбинация от цветове, звукови знаци или всякакви комбинации от такива знаци.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 xml:space="preserve">Марка е търговска марка, марка за услуга, колективна марка 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сертификатна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марка.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>Правото върху марката се придобива чрез регистрация, считано от датата на подаване 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а заявката.</w:t>
            </w:r>
          </w:p>
          <w:p w14:paraId="6A384CB9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Срок на действие:</w:t>
            </w:r>
          </w:p>
          <w:p w14:paraId="0CE43F3C" w14:textId="77777777" w:rsidR="00785291" w:rsidRDefault="00F729E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10 години от датата на подаване на заявката. Регистрацията може да бъде подновена неограничено за следващи периоди от десет години.</w:t>
            </w:r>
          </w:p>
          <w:p w14:paraId="2B5A9519" w14:textId="77777777" w:rsidR="00785291" w:rsidRDefault="00F729E2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Кратко описание на процедурата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Заявяване: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Заявката за регистрация на марки се подава в Патентното ведомство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Заявката се отнася до една марка за стоки и/или услуги от един или повече класове на Международната класификация.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Експертиза: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Всяка заявка се проверява дали отговаря на формалните изисквани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Когато те са удовлетворени, се извършва експертиза по същество. Когато се установи, че марката отговаря на изискванията на закона се взема решение за регистрация на марката.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Регистрация: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Марката се вписва в Държавния регистър на марките и в срок от един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месец на заявителя се издава свидетелство за регистрирана марка.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Събират се такси за регистрация, публикация и издаване на свидетелство на регистрирана марка.</w:t>
            </w:r>
          </w:p>
          <w:p w14:paraId="4D16B1AE" w14:textId="77777777" w:rsidR="00785291" w:rsidRDefault="00F729E2">
            <w:pPr>
              <w:spacing w:before="280" w:after="28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ГЕОГРАФСКИ ОЗНАЧЕНИЯ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Под географски означения се разбират наименования за произход и географски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указания.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>Наименование за произход е наименованието на страна, район или определена местност в тази страна, служещо за означаване на стока, която произхожда от там и чието качество или свойства се дължат предимно или изключително на географската среда, вкл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ючваща природни и човешки фактори.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>Географско указание е наименованието на страна, район или определена местност в тази страна, служещо за означаване на стока, която произхожда от там и притежава качество, известност или друга характеристика, които могат д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а се отдадат на този географски произход.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  <w:t>Правната закрила на географските означения се предоставят чрез регистрацията им в Патентното ведомство. Правната закрила на географското означение се прекратява, когато престане да съществува връзката между качеств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ата или особеностите на стоката и географската среда.</w:t>
            </w:r>
          </w:p>
          <w:p w14:paraId="7AAB32A1" w14:textId="77777777" w:rsidR="00785291" w:rsidRDefault="00F729E2">
            <w:pPr>
              <w:spacing w:before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 описание на процедурата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Подаване на заявка: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Заявката за регистрация на географско означение се подава в Патентното ведомство на България.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Експертиза: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Всяка заявка се проверява дали отговаря на ф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ормалните изисквания. Когато са удовлетворени тези изисквания се извършва експертиза по същество в 18-месечен срок.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Регистрация: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Когато се установи, че географското означение отговаря на изискванията на закона, се взема решение за регистрация в Държавния 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егистър на географските означения.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Заявителят се записва като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ползувател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 срок от един месец се издава свидетелство за регистрация на географското означение. Заплащат се такси за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регистрация, публикация и издаване на свидетелство за ползване на географс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 означение или за нов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ползувател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B98C6FA" w14:textId="77777777" w:rsidR="00785291" w:rsidRDefault="007852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852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8FDD2" w14:textId="77777777" w:rsidR="00F729E2" w:rsidRDefault="00F729E2">
      <w:pPr>
        <w:spacing w:after="0" w:line="240" w:lineRule="auto"/>
      </w:pPr>
      <w:r>
        <w:separator/>
      </w:r>
    </w:p>
  </w:endnote>
  <w:endnote w:type="continuationSeparator" w:id="0">
    <w:p w14:paraId="77A2CF39" w14:textId="77777777" w:rsidR="00F729E2" w:rsidRDefault="00F7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40C1" w14:textId="77777777" w:rsidR="00785291" w:rsidRDefault="007852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8317" w14:textId="77777777" w:rsidR="00785291" w:rsidRDefault="00F729E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0A5B">
      <w:rPr>
        <w:noProof/>
        <w:color w:val="000000"/>
      </w:rPr>
      <w:t>1</w:t>
    </w:r>
    <w:r>
      <w:rPr>
        <w:color w:val="000000"/>
      </w:rPr>
      <w:fldChar w:fldCharType="end"/>
    </w:r>
  </w:p>
  <w:p w14:paraId="7D12E6CA" w14:textId="77777777" w:rsidR="00785291" w:rsidRDefault="007852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A44F2" w14:textId="77777777" w:rsidR="00785291" w:rsidRDefault="007852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F69B1" w14:textId="77777777" w:rsidR="00F729E2" w:rsidRDefault="00F729E2">
      <w:pPr>
        <w:spacing w:after="0" w:line="240" w:lineRule="auto"/>
      </w:pPr>
      <w:r>
        <w:separator/>
      </w:r>
    </w:p>
  </w:footnote>
  <w:footnote w:type="continuationSeparator" w:id="0">
    <w:p w14:paraId="434CFC0F" w14:textId="77777777" w:rsidR="00F729E2" w:rsidRDefault="00F7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2983" w14:textId="77777777" w:rsidR="00785291" w:rsidRDefault="007852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D2021" w14:textId="77777777" w:rsidR="00785291" w:rsidRDefault="007852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9B34" w14:textId="77777777" w:rsidR="00785291" w:rsidRDefault="007852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291"/>
    <w:rsid w:val="004E0A5B"/>
    <w:rsid w:val="00785291"/>
    <w:rsid w:val="00F7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6EE9"/>
  <w15:docId w15:val="{28F37C33-2528-4747-AB93-50372275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30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A60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лавие 3 Знак"/>
    <w:basedOn w:val="a0"/>
    <w:link w:val="3"/>
    <w:uiPriority w:val="9"/>
    <w:rsid w:val="00A60F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List Paragraph"/>
    <w:basedOn w:val="a"/>
    <w:uiPriority w:val="34"/>
    <w:qFormat/>
    <w:rsid w:val="00A60FF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B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6B011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B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6B011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6B0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semiHidden/>
    <w:rsid w:val="006B011E"/>
  </w:style>
  <w:style w:type="paragraph" w:styleId="ab">
    <w:name w:val="footer"/>
    <w:basedOn w:val="a"/>
    <w:link w:val="ac"/>
    <w:uiPriority w:val="99"/>
    <w:unhideWhenUsed/>
    <w:rsid w:val="006B0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6B011E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xufODbYq+rbMTGqiRuddhGdLKg==">AMUW2mXq2fEZRI3lSBjf2cQ8wDMSmBRuzyR4HcnylKozf7ueBwP0rPF944otaoQ4K7NqiIZG2bWMt4+fV7eBd+qhI+peWGCgfHqcAfm4sEfXw49RtDP+A2w=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4280</Words>
  <Characters>24397</Characters>
  <Application>Microsoft Office Word</Application>
  <DocSecurity>0</DocSecurity>
  <Lines>203</Lines>
  <Paragraphs>57</Paragraphs>
  <ScaleCrop>false</ScaleCrop>
  <Company/>
  <LinksUpToDate>false</LinksUpToDate>
  <CharactersWithSpaces>28620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Alexander Karaneichewv</cp:lastModifiedBy>
  <cp:revision>2</cp:revision>
  <dcterms:created xsi:type="dcterms:W3CDTF">2017-09-19T11:32:00Z</dcterms:created>
  <dcterms:modified xsi:type="dcterms:W3CDTF">2022-02-09T09:10:00Z</dcterms:modified>
</cp:coreProperties>
</file>