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6.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Bureau</w:t>
      </w:r>
      <w:r>
        <w:t xml:space="preserve"> </w:t>
      </w:r>
      <w:r>
        <w:t xml:space="preserve">for</w:t>
      </w:r>
      <w:r>
        <w:t xml:space="preserve"> </w:t>
      </w:r>
      <w:r>
        <w:t xml:space="preserve">Resilience</w:t>
      </w:r>
      <w:r>
        <w:t xml:space="preserve"> </w:t>
      </w:r>
      <w:r>
        <w:t xml:space="preserve">and</w:t>
      </w:r>
      <w:r>
        <w:t xml:space="preserve"> </w:t>
      </w:r>
      <w:r>
        <w:t xml:space="preserve">Food</w:t>
      </w:r>
      <w:r>
        <w:t xml:space="preserve"> </w:t>
      </w:r>
      <w:r>
        <w:t xml:space="preserve">Security</w:t>
      </w:r>
    </w:p>
    <w:p>
      <w:pPr>
        <w:pStyle w:val="FirstParagraph"/>
      </w:pPr>
      <w:r>
        <w:t xml:space="preserve">This Feed the Future (FTF) Performance Scorecard assesses the Bureau for Resilience and Food Security progress toward FY 2030 Performance Targets.</w:t>
      </w:r>
    </w:p>
    <w:bookmarkStart w:id="76"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Bureau%20for%20Resilience%20and%20Food%20Security%20(RFS)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Bureau%20for%20Resilience%20and%20Food%20Security%20(RFS)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Bureau for Resilience and Food Security.</w:t>
      </w:r>
    </w:p>
    <w:bookmarkEnd w:id="28"/>
    <w:bookmarkStart w:id="64"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Bureau%20for%20Resilience%20and%20Food%20Security%20(RFS)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Bureau%20for%20Resilience%20and%20Food%20Security%20(RFS)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Bureau for Resilience and Food Security had 9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7 contributed to the sales total of $780,040,000.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Bureau%20for%20Resilience%20and%20Food%20Security%20(RFS)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Bureau%20for%20Resilience%20and%20Food%20Security%20(RFS)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Bureau for Resilience and Food Security had 2 IMs/Activities that reported all four sex disaggregates needed to contribute to PT2. The total value of financing among all activities, regardless of disaggregates, was $142,150,000 (EG.3.2-27 total), with $142,150,000 that was disaggregated by females and males, and an additional $119,010,000 to</w:t>
      </w:r>
      <w:r>
        <w:t xml:space="preserve"> </w:t>
      </w:r>
      <w:r>
        <w:t xml:space="preserve">‘</w:t>
      </w:r>
      <w:r>
        <w:t xml:space="preserve">mixed</w:t>
      </w:r>
      <w:r>
        <w:t xml:space="preserve">’</w:t>
      </w:r>
      <w:r>
        <w:t xml:space="preserve"> </w:t>
      </w:r>
      <w:r>
        <w:t xml:space="preserve">firms that have both males and females, and $20,000 that was not sex disaggregated.</w:t>
      </w:r>
      <w:r>
        <w:br/>
      </w:r>
      <w:r>
        <w:t xml:space="preserve">Note that while Bureau for Resilience and Food Security was</w:t>
      </w:r>
      <w:r>
        <w:t xml:space="preserve"> </w:t>
      </w:r>
      <w:r>
        <w:t xml:space="preserve">‘</w:t>
      </w:r>
      <w:r>
        <w:t xml:space="preserve">On track</w:t>
      </w:r>
      <w:r>
        <w:t xml:space="preserve">’</w:t>
      </w:r>
      <w:r>
        <w:t xml:space="preserve"> </w:t>
      </w:r>
      <w:r>
        <w:t xml:space="preserve">in FY23, it expects a substantial decrease in FY24. Such an increase would make it</w:t>
      </w:r>
      <w:r>
        <w:t xml:space="preserve"> </w:t>
      </w:r>
      <w:r>
        <w:t xml:space="preserve">‘</w:t>
      </w:r>
      <w:r>
        <w:t xml:space="preserve">Not on track</w:t>
      </w:r>
      <w:r>
        <w:t xml:space="preserve">’</w:t>
      </w:r>
      <w:r>
        <w:t xml:space="preserve"> </w:t>
      </w:r>
      <w:r>
        <w:t xml:space="preserve">for this performance indicator.</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Bureau%20for%20Resilience%20and%20Food%20Security%20(RFS)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Bureau%20for%20Resilience%20and%20Food%20Security%20(RFS)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Bureau for Resilience and Food Security had 74 activities that aligned the indicator for hectares under improved management practices (EG.3.2-25). Of those activities, 14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Bureau%20for%20Resilience%20and%20Food%20Security%20(RFS)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Bureau%20for%20Resilience%20and%20Food%20Security%20(RFS)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Bureau for Resilience and Food Security had 5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5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Bureau%20for%20Resilience%20and%20Food%20Security%20(RFS)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Bureau%20for%20Resilience%20and%20Food%20Security%20(RFS)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Bureau for Resilience and Food Security.</w:t>
      </w:r>
    </w:p>
    <w:bookmarkEnd w:id="62"/>
    <w:bookmarkStart w:id="63" w:name="national-context"/>
    <w:p>
      <w:pPr>
        <w:pStyle w:val="Heading3"/>
      </w:pPr>
      <w:r>
        <w:t xml:space="preserve">National Context</w:t>
      </w:r>
    </w:p>
    <w:p>
      <w:pPr>
        <w:pStyle w:val="FirstParagraph"/>
      </w:pPr>
      <w:r>
        <w:t xml:space="preserve">National context data is not available for Bureau for Resilience and Food Security.</w:t>
      </w:r>
    </w:p>
    <w:p>
      <w:pPr>
        <w:pStyle w:val="SourceCode"/>
      </w:pPr>
      <w:r>
        <w:rPr>
          <w:rStyle w:val="VerbatimChar"/>
        </w:rPr>
        <w:t xml:space="preserve">## NULL</w:t>
      </w:r>
    </w:p>
    <w:bookmarkEnd w:id="63"/>
    <w:bookmarkEnd w:id="64"/>
    <w:bookmarkStart w:id="65"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t xml:space="preserve">There is no Ag Transformation Index available for Bureau for Resilience and Food Security.</w:t>
      </w:r>
    </w:p>
    <w:bookmarkEnd w:id="65"/>
    <w:bookmarkStart w:id="69"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t xml:space="preserve">For the REFS Bureau, this value was divided by two to account for the large proportion of the budget that does not report on Performance Target indicators.</w:t>
      </w:r>
    </w:p>
    <w:p>
      <w:pPr>
        <w:pStyle w:val="BodyText"/>
      </w:pPr>
      <w:r>
        <w:drawing>
          <wp:inline>
            <wp:extent cx="5943600" cy="3200400"/>
            <wp:effectExtent b="0" l="0" r="0" t="0"/>
            <wp:docPr descr="" title="" id="67" name="Picture"/>
            <a:graphic>
              <a:graphicData uri="http://schemas.openxmlformats.org/drawingml/2006/picture">
                <pic:pic>
                  <pic:nvPicPr>
                    <pic:cNvPr descr="C:\Users\rythomas\Documents\R_scripts\country_scorecards\country_scorecards\output\Bureau%20for%20Resilience%20and%20Food%20Security%20(RFS)_files/figure-docx/budget%20plot-1.png" id="68" name="Picture"/>
                    <pic:cNvPicPr>
                      <a:picLocks noChangeArrowheads="1" noChangeAspect="1"/>
                    </pic:cNvPicPr>
                  </pic:nvPicPr>
                  <pic:blipFill>
                    <a:blip r:embed="rId66"/>
                    <a:stretch>
                      <a:fillRect/>
                    </a:stretch>
                  </pic:blipFill>
                  <pic:spPr bwMode="auto">
                    <a:xfrm>
                      <a:off x="0" y="0"/>
                      <a:ext cx="5943600" cy="3200400"/>
                    </a:xfrm>
                    <a:prstGeom prst="rect">
                      <a:avLst/>
                    </a:prstGeom>
                    <a:noFill/>
                    <a:ln w="9525">
                      <a:noFill/>
                      <a:headEnd/>
                      <a:tailEnd/>
                    </a:ln>
                  </pic:spPr>
                </pic:pic>
              </a:graphicData>
            </a:graphic>
          </wp:inline>
        </w:drawing>
      </w:r>
    </w:p>
    <w:bookmarkEnd w:id="69"/>
    <w:bookmarkStart w:id="70"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0"/>
    <w:bookmarkStart w:id="75" w:name="X5c5d246148a297ff9a3792eabd1fa065d738198"/>
    <w:p>
      <w:pPr>
        <w:pStyle w:val="Heading2"/>
      </w:pPr>
      <w:r>
        <w:t xml:space="preserve">Top Activities (Award Disbursements and Results)</w:t>
      </w:r>
    </w:p>
    <w:p>
      <w:pPr>
        <w:pStyle w:val="FirstParagraph"/>
      </w:pPr>
      <w:r>
        <w:t xml:space="preserve">This section highlights the 5 activities (out of the total 74 in the Bureau for Resilience and Food Security (RFS) portfolio) that have the highest level of FY 2023 annual disbursements and highest reported values for the relevant indicators.</w:t>
      </w:r>
      <w:r>
        <w:t xml:space="preserve"> </w:t>
      </w:r>
      <w:r>
        <w:t xml:space="preserve">The first table below shows activities with the highest total transaction amounts.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190"/>
        <w:gridCol w:w="833"/>
        <w:gridCol w:w="3811"/>
        <w:gridCol w:w="1131"/>
        <w:gridCol w:w="238"/>
        <w:gridCol w:w="238"/>
        <w:gridCol w:w="238"/>
        <w:gridCol w:w="238"/>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AID-BFS-IO-17-00005</w:t>
            </w:r>
          </w:p>
        </w:tc>
        <w:tc>
          <w:tcPr/>
          <w:p>
            <w:pPr>
              <w:pStyle w:val="Compact"/>
              <w:jc w:val="right"/>
            </w:pPr>
            <w:r>
              <w:t xml:space="preserve">6378</w:t>
            </w:r>
          </w:p>
        </w:tc>
        <w:tc>
          <w:tcPr/>
          <w:p>
            <w:pPr>
              <w:pStyle w:val="Compact"/>
              <w:jc w:val="left"/>
            </w:pPr>
            <w:r>
              <w:t xml:space="preserve">Seeds to Business</w:t>
            </w:r>
          </w:p>
        </w:tc>
        <w:tc>
          <w:tcPr/>
          <w:p>
            <w:pPr>
              <w:pStyle w:val="Compact"/>
              <w:jc w:val="left"/>
            </w:pPr>
            <w:r>
              <w:t xml:space="preserve">$184,663,755</w:t>
            </w:r>
          </w:p>
        </w:tc>
        <w:tc>
          <w:tcPr/>
          <w:p>
            <w:pPr>
              <w:pStyle w:val="Compact"/>
              <w:jc w:val="left"/>
            </w:pPr>
            <w:r>
              <w:t xml:space="preserve">X</w:t>
            </w:r>
          </w:p>
        </w:tc>
        <w:tc>
          <w:tcPr/>
          <w:p>
            <w:pPr>
              <w:pStyle w:val="Compact"/>
              <w:jc w:val="left"/>
            </w:pPr>
            <w:r>
              <w:t xml:space="preserve">-</w:t>
            </w:r>
          </w:p>
        </w:tc>
        <w:tc>
          <w:tcPr/>
          <w:p>
            <w:pPr>
              <w:pStyle w:val="Compact"/>
              <w:jc w:val="left"/>
            </w:pPr>
            <w:r>
              <w:t xml:space="preserve">X</w:t>
            </w:r>
          </w:p>
        </w:tc>
        <w:tc>
          <w:tcPr/>
          <w:p>
            <w:pPr>
              <w:pStyle w:val="Compact"/>
              <w:jc w:val="left"/>
            </w:pPr>
            <w:r>
              <w:t xml:space="preserve">-</w:t>
            </w:r>
          </w:p>
        </w:tc>
      </w:tr>
      <w:tr>
        <w:tc>
          <w:tcPr/>
          <w:p>
            <w:pPr>
              <w:pStyle w:val="Compact"/>
              <w:jc w:val="left"/>
            </w:pPr>
            <w:r>
              <w:t xml:space="preserve">AID-BFS-IO-17-00005</w:t>
            </w:r>
          </w:p>
        </w:tc>
        <w:tc>
          <w:tcPr/>
          <w:p>
            <w:pPr>
              <w:pStyle w:val="Compact"/>
              <w:jc w:val="right"/>
            </w:pPr>
            <w:r>
              <w:t xml:space="preserve">1999</w:t>
            </w:r>
          </w:p>
        </w:tc>
        <w:tc>
          <w:tcPr/>
          <w:p>
            <w:pPr>
              <w:pStyle w:val="Compact"/>
              <w:jc w:val="left"/>
            </w:pPr>
            <w:r>
              <w:t xml:space="preserve">ARP- Golden Rice</w:t>
            </w:r>
          </w:p>
        </w:tc>
        <w:tc>
          <w:tcPr/>
          <w:p>
            <w:pPr>
              <w:pStyle w:val="Compact"/>
              <w:jc w:val="left"/>
            </w:pPr>
            <w:r>
              <w:t xml:space="preserve">$184,663,755</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AID-BFS-IO-17-00005</w:t>
            </w:r>
          </w:p>
        </w:tc>
        <w:tc>
          <w:tcPr/>
          <w:p>
            <w:pPr>
              <w:pStyle w:val="Compact"/>
              <w:jc w:val="right"/>
            </w:pPr>
            <w:r>
              <w:t xml:space="preserve">2264</w:t>
            </w:r>
          </w:p>
        </w:tc>
        <w:tc>
          <w:tcPr/>
          <w:p>
            <w:pPr>
              <w:pStyle w:val="Compact"/>
              <w:jc w:val="left"/>
            </w:pPr>
            <w:r>
              <w:t xml:space="preserve">CA: CTEH: AVISA</w:t>
            </w:r>
          </w:p>
        </w:tc>
        <w:tc>
          <w:tcPr/>
          <w:p>
            <w:pPr>
              <w:pStyle w:val="Compact"/>
              <w:jc w:val="left"/>
            </w:pPr>
            <w:r>
              <w:t xml:space="preserve">$184,663,755</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c>
          <w:tcPr/>
          <w:p>
            <w:pPr>
              <w:pStyle w:val="Compact"/>
              <w:jc w:val="left"/>
            </w:pPr>
            <w:r>
              <w:t xml:space="preserve">-</w:t>
            </w:r>
          </w:p>
        </w:tc>
      </w:tr>
      <w:tr>
        <w:tc>
          <w:tcPr/>
          <w:p>
            <w:pPr>
              <w:pStyle w:val="Compact"/>
              <w:jc w:val="left"/>
            </w:pPr>
            <w:r>
              <w:t xml:space="preserve">AID-BFS-IO-17-00005</w:t>
            </w:r>
          </w:p>
        </w:tc>
        <w:tc>
          <w:tcPr/>
          <w:p>
            <w:pPr>
              <w:pStyle w:val="Compact"/>
              <w:jc w:val="right"/>
            </w:pPr>
            <w:r>
              <w:t xml:space="preserve">2284</w:t>
            </w:r>
          </w:p>
        </w:tc>
        <w:tc>
          <w:tcPr/>
          <w:p>
            <w:pPr>
              <w:pStyle w:val="Compact"/>
              <w:jc w:val="left"/>
            </w:pPr>
            <w:r>
              <w:t xml:space="preserve">CA: CTEH: Next Gen Cassava</w:t>
            </w:r>
          </w:p>
        </w:tc>
        <w:tc>
          <w:tcPr/>
          <w:p>
            <w:pPr>
              <w:pStyle w:val="Compact"/>
              <w:jc w:val="left"/>
            </w:pPr>
            <w:r>
              <w:t xml:space="preserve">$184,663,755</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AID-BFS-IO-17-00005</w:t>
            </w:r>
          </w:p>
        </w:tc>
        <w:tc>
          <w:tcPr/>
          <w:p>
            <w:pPr>
              <w:pStyle w:val="Compact"/>
              <w:jc w:val="right"/>
            </w:pPr>
            <w:r>
              <w:t xml:space="preserve">2283</w:t>
            </w:r>
          </w:p>
        </w:tc>
        <w:tc>
          <w:tcPr/>
          <w:p>
            <w:pPr>
              <w:pStyle w:val="Compact"/>
              <w:jc w:val="left"/>
            </w:pPr>
            <w:r>
              <w:t xml:space="preserve">CA: CTEH: Potato &amp; Sweet Potato</w:t>
            </w:r>
          </w:p>
        </w:tc>
        <w:tc>
          <w:tcPr/>
          <w:p>
            <w:pPr>
              <w:pStyle w:val="Compact"/>
              <w:jc w:val="left"/>
            </w:pPr>
            <w:r>
              <w:t xml:space="preserve">$184,663,755</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AID-BFS-IO-17-00005</w:t>
            </w:r>
          </w:p>
        </w:tc>
        <w:tc>
          <w:tcPr/>
          <w:p>
            <w:pPr>
              <w:pStyle w:val="Compact"/>
              <w:jc w:val="right"/>
            </w:pPr>
            <w:r>
              <w:t xml:space="preserve">2000</w:t>
            </w:r>
          </w:p>
        </w:tc>
        <w:tc>
          <w:tcPr/>
          <w:p>
            <w:pPr>
              <w:pStyle w:val="Compact"/>
              <w:jc w:val="left"/>
            </w:pPr>
            <w:r>
              <w:t xml:space="preserve">CA: Temporary Maize: Heat Stress Resilient Maize for South Asia</w:t>
            </w:r>
          </w:p>
        </w:tc>
        <w:tc>
          <w:tcPr/>
          <w:p>
            <w:pPr>
              <w:pStyle w:val="Compact"/>
              <w:jc w:val="left"/>
            </w:pPr>
            <w:r>
              <w:t xml:space="preserve">$184,663,755</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c>
          <w:tcPr/>
          <w:p>
            <w:pPr>
              <w:pStyle w:val="Compact"/>
              <w:jc w:val="left"/>
            </w:pPr>
            <w:r>
              <w:t xml:space="preserve">-</w:t>
            </w:r>
          </w:p>
        </w:tc>
      </w:tr>
    </w:tbl>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737"/>
        <w:gridCol w:w="543"/>
        <w:gridCol w:w="3688"/>
        <w:gridCol w:w="776"/>
        <w:gridCol w:w="504"/>
        <w:gridCol w:w="1203"/>
        <w:gridCol w:w="465"/>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PT1: Sales</w:t>
            </w:r>
          </w:p>
        </w:tc>
        <w:tc>
          <w:tcPr/>
          <w:p>
            <w:pPr>
              <w:pStyle w:val="Compact"/>
              <w:jc w:val="left"/>
            </w:pPr>
            <w:r>
              <w:t xml:space="preserve">PT3: Climate adaptive hectares</w:t>
            </w:r>
          </w:p>
        </w:tc>
        <w:tc>
          <w:tcPr/>
          <w:p>
            <w:pPr>
              <w:pStyle w:val="Compact"/>
              <w:jc w:val="left"/>
            </w:pPr>
            <w:r>
              <w:t xml:space="preserve">PT4: PSI</w:t>
            </w:r>
          </w:p>
        </w:tc>
      </w:tr>
      <w:tr>
        <w:tc>
          <w:tcPr/>
          <w:p>
            <w:pPr>
              <w:pStyle w:val="Compact"/>
              <w:jc w:val="left"/>
            </w:pPr>
            <w:r>
              <w:t xml:space="preserve">7200AA19CA00024</w:t>
            </w:r>
          </w:p>
        </w:tc>
        <w:tc>
          <w:tcPr/>
          <w:p>
            <w:pPr>
              <w:pStyle w:val="Compact"/>
              <w:jc w:val="right"/>
            </w:pPr>
            <w:r>
              <w:t xml:space="preserve">1940</w:t>
            </w:r>
          </w:p>
        </w:tc>
        <w:tc>
          <w:tcPr/>
          <w:p>
            <w:pPr>
              <w:pStyle w:val="Compact"/>
              <w:jc w:val="left"/>
            </w:pPr>
            <w:r>
              <w:t xml:space="preserve">ACELI Africa Program (formerly Prosper Africa / CSAF ) GDA APS w/ Global Development Incubator</w:t>
            </w:r>
          </w:p>
        </w:tc>
        <w:tc>
          <w:tcPr/>
          <w:p>
            <w:pPr>
              <w:pStyle w:val="Compact"/>
              <w:jc w:val="left"/>
            </w:pPr>
            <w:r>
              <w:t xml:space="preserve">$1,561,084</w:t>
            </w:r>
          </w:p>
        </w:tc>
        <w:tc>
          <w:tcPr/>
          <w:p>
            <w:pPr>
              <w:pStyle w:val="Compact"/>
              <w:jc w:val="left"/>
            </w:pPr>
            <w:r>
              <w:t xml:space="preserve">$501,808,797</w:t>
            </w:r>
          </w:p>
        </w:tc>
        <w:tc>
          <w:tcPr/>
          <w:p>
            <w:pPr>
              <w:pStyle w:val="Compact"/>
              <w:jc w:val="left"/>
            </w:pPr>
            <w:r>
              <w:t xml:space="preserve">NA</w:t>
            </w:r>
          </w:p>
        </w:tc>
        <w:tc>
          <w:tcPr/>
          <w:p>
            <w:pPr>
              <w:pStyle w:val="Compact"/>
              <w:jc w:val="left"/>
            </w:pPr>
            <w:r>
              <w:t xml:space="preserve">$65,000,000</w:t>
            </w:r>
          </w:p>
        </w:tc>
      </w:tr>
      <w:tr>
        <w:tc>
          <w:tcPr/>
          <w:p>
            <w:pPr>
              <w:pStyle w:val="Compact"/>
              <w:jc w:val="left"/>
            </w:pPr>
            <w:r>
              <w:t xml:space="preserve">AID-OAA-A-17-00022</w:t>
            </w:r>
          </w:p>
        </w:tc>
        <w:tc>
          <w:tcPr/>
          <w:p>
            <w:pPr>
              <w:pStyle w:val="Compact"/>
              <w:jc w:val="right"/>
            </w:pPr>
            <w:r>
              <w:t xml:space="preserve">2080</w:t>
            </w:r>
          </w:p>
        </w:tc>
        <w:tc>
          <w:tcPr/>
          <w:p>
            <w:pPr>
              <w:pStyle w:val="Compact"/>
              <w:jc w:val="left"/>
            </w:pPr>
            <w:r>
              <w:t xml:space="preserve">Feed the Future Partnership for Sustainable Supply Chains</w:t>
            </w:r>
          </w:p>
        </w:tc>
        <w:tc>
          <w:tcPr/>
          <w:p>
            <w:pPr>
              <w:pStyle w:val="Compact"/>
              <w:jc w:val="left"/>
            </w:pPr>
            <w:r>
              <w:t xml:space="preserve">$581,087</w:t>
            </w:r>
          </w:p>
        </w:tc>
        <w:tc>
          <w:tcPr/>
          <w:p>
            <w:pPr>
              <w:pStyle w:val="Compact"/>
              <w:jc w:val="left"/>
            </w:pPr>
            <w:r>
              <w:t xml:space="preserve">$164,786,807</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7200AA18CA00008</w:t>
            </w:r>
          </w:p>
        </w:tc>
        <w:tc>
          <w:tcPr/>
          <w:p>
            <w:pPr>
              <w:pStyle w:val="Compact"/>
              <w:jc w:val="right"/>
            </w:pPr>
            <w:r>
              <w:t xml:space="preserve">2076</w:t>
            </w:r>
          </w:p>
        </w:tc>
        <w:tc>
          <w:tcPr/>
          <w:p>
            <w:pPr>
              <w:pStyle w:val="Compact"/>
              <w:jc w:val="left"/>
            </w:pPr>
            <w:r>
              <w:t xml:space="preserve">Alliance for Inclusive and Nutritious Food Processing</w:t>
            </w:r>
          </w:p>
        </w:tc>
        <w:tc>
          <w:tcPr/>
          <w:p>
            <w:pPr>
              <w:pStyle w:val="Compact"/>
              <w:jc w:val="left"/>
            </w:pPr>
            <w:r>
              <w:t xml:space="preserve">$3,385,852</w:t>
            </w:r>
          </w:p>
        </w:tc>
        <w:tc>
          <w:tcPr/>
          <w:p>
            <w:pPr>
              <w:pStyle w:val="Compact"/>
              <w:jc w:val="left"/>
            </w:pPr>
            <w:r>
              <w:t xml:space="preserve">$58,364,092</w:t>
            </w:r>
          </w:p>
        </w:tc>
        <w:tc>
          <w:tcPr/>
          <w:p>
            <w:pPr>
              <w:pStyle w:val="Compact"/>
              <w:jc w:val="left"/>
            </w:pPr>
            <w:r>
              <w:t xml:space="preserve">NA</w:t>
            </w:r>
          </w:p>
        </w:tc>
        <w:tc>
          <w:tcPr/>
          <w:p>
            <w:pPr>
              <w:pStyle w:val="Compact"/>
              <w:jc w:val="left"/>
            </w:pPr>
            <w:r>
              <w:t xml:space="preserve">$1,021,073</w:t>
            </w:r>
          </w:p>
        </w:tc>
      </w:tr>
      <w:tr>
        <w:tc>
          <w:tcPr/>
          <w:p>
            <w:pPr>
              <w:pStyle w:val="Compact"/>
              <w:jc w:val="left"/>
            </w:pPr>
            <w:r>
              <w:t xml:space="preserve">720BFS19CA00001</w:t>
            </w:r>
          </w:p>
        </w:tc>
        <w:tc>
          <w:tcPr/>
          <w:p>
            <w:pPr>
              <w:pStyle w:val="Compact"/>
              <w:jc w:val="right"/>
            </w:pPr>
            <w:r>
              <w:t xml:space="preserve">2090</w:t>
            </w:r>
          </w:p>
        </w:tc>
        <w:tc>
          <w:tcPr/>
          <w:p>
            <w:pPr>
              <w:pStyle w:val="Compact"/>
              <w:jc w:val="left"/>
            </w:pPr>
            <w:r>
              <w:t xml:space="preserve">Feed the Future Business Drivers for Food Safety (BD4FS)</w:t>
            </w:r>
          </w:p>
        </w:tc>
        <w:tc>
          <w:tcPr/>
          <w:p>
            <w:pPr>
              <w:pStyle w:val="Compact"/>
              <w:jc w:val="left"/>
            </w:pPr>
            <w:r>
              <w:t xml:space="preserve">$3,363,083</w:t>
            </w:r>
          </w:p>
        </w:tc>
        <w:tc>
          <w:tcPr/>
          <w:p>
            <w:pPr>
              <w:pStyle w:val="Compact"/>
              <w:jc w:val="left"/>
            </w:pPr>
            <w:r>
              <w:t xml:space="preserve">$36,935,883</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7200AA21CA00022</w:t>
            </w:r>
          </w:p>
        </w:tc>
        <w:tc>
          <w:tcPr/>
          <w:p>
            <w:pPr>
              <w:pStyle w:val="Compact"/>
              <w:jc w:val="right"/>
            </w:pPr>
            <w:r>
              <w:t xml:space="preserve">4606</w:t>
            </w:r>
          </w:p>
        </w:tc>
        <w:tc>
          <w:tcPr/>
          <w:p>
            <w:pPr>
              <w:pStyle w:val="Compact"/>
              <w:jc w:val="left"/>
            </w:pPr>
            <w:r>
              <w:t xml:space="preserve">CA: Feed the Future Insect-Resistant Eggplant Partnership</w:t>
            </w:r>
          </w:p>
        </w:tc>
        <w:tc>
          <w:tcPr/>
          <w:p>
            <w:pPr>
              <w:pStyle w:val="Compact"/>
              <w:jc w:val="left"/>
            </w:pPr>
            <w:r>
              <w:t xml:space="preserve">$1,687,444</w:t>
            </w:r>
          </w:p>
        </w:tc>
        <w:tc>
          <w:tcPr/>
          <w:p>
            <w:pPr>
              <w:pStyle w:val="Compact"/>
              <w:jc w:val="left"/>
            </w:pPr>
            <w:r>
              <w:t xml:space="preserve">$12,383,945</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2" name="Picture"/>
            <a:graphic>
              <a:graphicData uri="http://schemas.openxmlformats.org/drawingml/2006/picture">
                <pic:pic>
                  <pic:nvPicPr>
                    <pic:cNvPr descr="maps/RFS.png" id="73" name="Picture"/>
                    <pic:cNvPicPr>
                      <a:picLocks noChangeArrowheads="1" noChangeAspect="1"/>
                    </pic:cNvPicPr>
                  </pic:nvPicPr>
                  <pic:blipFill>
                    <a:blip r:embed="rId71"/>
                    <a:stretch>
                      <a:fillRect/>
                    </a:stretch>
                  </pic:blipFill>
                  <pic:spPr bwMode="auto">
                    <a:xfrm>
                      <a:off x="0" y="0"/>
                      <a:ext cx="5943600" cy="8229600"/>
                    </a:xfrm>
                    <a:prstGeom prst="rect">
                      <a:avLst/>
                    </a:prstGeom>
                    <a:noFill/>
                    <a:ln w="9525">
                      <a:noFill/>
                      <a:headEnd/>
                      <a:tailEnd/>
                    </a:ln>
                  </pic:spPr>
                </pic:pic>
              </a:graphicData>
            </a:graphic>
          </wp:inline>
        </w:drawing>
      </w:r>
    </w:p>
    <w:bookmarkStart w:id="74"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Bureau for Resilience and Food Security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Bureau for Resilience and Food Security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the following two components in each response:</w:t>
      </w:r>
    </w:p>
    <w:p>
      <w:pPr>
        <w:numPr>
          <w:ilvl w:val="0"/>
          <w:numId w:val="1002"/>
        </w:numPr>
      </w:pPr>
      <w:r>
        <w:t xml:space="preserve">An explanation of why this target is not on track. Explanations may include that the OU/Mission was not aware of the target prior to planning activities. (Limit 100 words)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 (Limit 100 words)</w:t>
      </w:r>
    </w:p>
    <w:bookmarkEnd w:id="74"/>
    <w:bookmarkEnd w:id="75"/>
    <w:bookmarkEnd w:id="76"/>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6" Target="media/rId66.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1" Target="media/rId71.png"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Bureau for Resilience and Food Security</dc:title>
  <dc:creator/>
  <cp:keywords/>
  <dcterms:created xsi:type="dcterms:W3CDTF">2024-05-21T21:54:53Z</dcterms:created>
  <dcterms:modified xsi:type="dcterms:W3CDTF">2024-05-21T21:54:53Z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