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Sahel</w:t>
      </w:r>
      <w:r>
        <w:t xml:space="preserve"> </w:t>
      </w:r>
      <w:r>
        <w:t xml:space="preserve">Regional</w:t>
      </w:r>
      <w:r>
        <w:t xml:space="preserve"> </w:t>
      </w:r>
      <w:r>
        <w:t xml:space="preserve">Program</w:t>
      </w:r>
    </w:p>
    <w:p>
      <w:pPr>
        <w:pStyle w:val="FirstParagraph"/>
      </w:pPr>
      <w:r>
        <w:t xml:space="preserve">This Feed the Future (FTF) Performance Scorecard assesses the Sahel Regional Program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Sahel%20Regional%20Program%20(SAHE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Sahel%20Regional%20Program%20(SAHE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Sahel Regional Program.</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Sahel%20Regional%20Program%20(SAHE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Sahel%20Regional%20Program%20(SAHE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Sahel Regional Program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$18,950,000.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Sahel%20Regional%20Program%20(SAHE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Sahel%20Regional%20Program%20(SAHE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Sahel Regional Program had 3 IMs/Activities that reported all four sex disaggregates needed to contribute to PT2. The total value of financing among all activities, regardless of disaggregates, was $4,590,000 (EG.3.2-27 total), with $4,590,000 that was disaggregated by females and males, and an additional $8,450,000 to</w:t>
      </w:r>
      <w:r>
        <w:t xml:space="preserve"> </w:t>
      </w:r>
      <w:r>
        <w:t xml:space="preserve">‘</w:t>
      </w:r>
      <w:r>
        <w:t xml:space="preserve">mixed</w:t>
      </w:r>
      <w:r>
        <w:t xml:space="preserve">’</w:t>
      </w:r>
      <w:r>
        <w:t xml:space="preserve"> </w:t>
      </w:r>
      <w:r>
        <w:t xml:space="preserve">firms that have both males and females, and $0 that was not sex disaggregated.</w:t>
      </w:r>
      <w:r>
        <w:br/>
      </w:r>
      <w:r>
        <w:t xml:space="preserve">Note that while Sahel Regional Program was</w:t>
      </w:r>
      <w:r>
        <w:t xml:space="preserve"> </w:t>
      </w:r>
      <w:r>
        <w:t xml:space="preserve">‘</w:t>
      </w:r>
      <w:r>
        <w:t xml:space="preserve">On track</w:t>
      </w:r>
      <w:r>
        <w:t xml:space="preserve">’</w:t>
      </w:r>
      <w:r>
        <w:t xml:space="preserve"> </w:t>
      </w:r>
      <w:r>
        <w:t xml:space="preserve">in FY23, it expects a substantial decrease in FY24. Such an increase would make it</w:t>
      </w:r>
      <w:r>
        <w:t xml:space="preserve"> </w:t>
      </w:r>
      <w:r>
        <w:t xml:space="preserve">‘</w:t>
      </w:r>
      <w:r>
        <w:t xml:space="preserve">Not on track</w:t>
      </w:r>
      <w:r>
        <w:t xml:space="preserve">’</w:t>
      </w:r>
      <w:r>
        <w:t xml:space="preserve"> </w:t>
      </w:r>
      <w:r>
        <w:t xml:space="preserve">for this performance indicator.</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Sahel%20Regional%20Program%20(SAHE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Sahel%20Regional%20Program%20(SAHE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Sahel Regional Program had 8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Sahel%20Regional%20Program%20(SAHE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Sahel%20Regional%20Program%20(SAHE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Sahel Regional Program had 5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Sahel%20Regional%20Program%20(SAHE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Sahel%20Regional%20Program%20(SAHE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Sahel Regional Program.</w:t>
      </w:r>
    </w:p>
    <w:bookmarkEnd w:id="62"/>
    <w:bookmarkStart w:id="63" w:name="national-context"/>
    <w:p>
      <w:pPr>
        <w:pStyle w:val="Heading3"/>
      </w:pPr>
      <w:r>
        <w:t xml:space="preserve">National Context</w:t>
      </w:r>
    </w:p>
    <w:p>
      <w:pPr>
        <w:pStyle w:val="FirstParagraph"/>
      </w:pPr>
      <w:r>
        <w:t xml:space="preserve">National context data is not available for Sahel Regional Program.</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Sahel Regional Program.</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Sahel%20Regional%20Program%20(SAHEL)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8 in the Sahel Regional Program (SAHEL)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83"/>
        <w:gridCol w:w="724"/>
        <w:gridCol w:w="2432"/>
        <w:gridCol w:w="1035"/>
        <w:gridCol w:w="569"/>
        <w:gridCol w:w="1604"/>
        <w:gridCol w:w="56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 Not reported !!</w:t>
            </w:r>
          </w:p>
        </w:tc>
        <w:tc>
          <w:tcPr/>
          <w:p>
            <w:pPr>
              <w:pStyle w:val="Compact"/>
              <w:jc w:val="right"/>
            </w:pPr>
            <w:r>
              <w:t xml:space="preserve">1365</w:t>
            </w:r>
          </w:p>
        </w:tc>
        <w:tc>
          <w:tcPr/>
          <w:p>
            <w:pPr>
              <w:pStyle w:val="Compact"/>
              <w:jc w:val="left"/>
            </w:pPr>
            <w:r>
              <w:t xml:space="preserve">USAID Yidgiri</w:t>
            </w:r>
          </w:p>
        </w:tc>
        <w:tc>
          <w:tcPr/>
          <w:p>
            <w:pPr>
              <w:pStyle w:val="Compact"/>
              <w:jc w:val="left"/>
            </w:pPr>
            <w:r>
              <w:t xml:space="preserve">NA</w:t>
            </w:r>
          </w:p>
        </w:tc>
        <w:tc>
          <w:tcPr/>
          <w:p>
            <w:pPr>
              <w:pStyle w:val="Compact"/>
              <w:jc w:val="left"/>
            </w:pPr>
            <w:r>
              <w:t xml:space="preserve">$9,761,986</w:t>
            </w:r>
          </w:p>
        </w:tc>
        <w:tc>
          <w:tcPr/>
          <w:p>
            <w:pPr>
              <w:pStyle w:val="Compact"/>
              <w:jc w:val="left"/>
            </w:pPr>
            <w:r>
              <w:t xml:space="preserve">NA</w:t>
            </w:r>
          </w:p>
        </w:tc>
        <w:tc>
          <w:tcPr/>
          <w:p>
            <w:pPr>
              <w:pStyle w:val="Compact"/>
              <w:jc w:val="left"/>
            </w:pPr>
            <w:r>
              <w:t xml:space="preserve">$1,017,870</w:t>
            </w:r>
          </w:p>
        </w:tc>
      </w:tr>
      <w:tr>
        <w:tc>
          <w:tcPr/>
          <w:p>
            <w:pPr>
              <w:pStyle w:val="Compact"/>
              <w:jc w:val="left"/>
            </w:pPr>
            <w:r>
              <w:t xml:space="preserve">72062019C00003</w:t>
            </w:r>
          </w:p>
        </w:tc>
        <w:tc>
          <w:tcPr/>
          <w:p>
            <w:pPr>
              <w:pStyle w:val="Compact"/>
              <w:jc w:val="right"/>
            </w:pPr>
            <w:r>
              <w:t xml:space="preserve">1348</w:t>
            </w:r>
          </w:p>
        </w:tc>
        <w:tc>
          <w:tcPr/>
          <w:p>
            <w:pPr>
              <w:pStyle w:val="Compact"/>
              <w:jc w:val="left"/>
            </w:pPr>
            <w:r>
              <w:t xml:space="preserve">Buy-in to West Africa Trade and Investment Hub</w:t>
            </w:r>
          </w:p>
        </w:tc>
        <w:tc>
          <w:tcPr/>
          <w:p>
            <w:pPr>
              <w:pStyle w:val="Compact"/>
              <w:jc w:val="left"/>
            </w:pPr>
            <w:r>
              <w:t xml:space="preserve">NA</w:t>
            </w:r>
          </w:p>
        </w:tc>
        <w:tc>
          <w:tcPr/>
          <w:p>
            <w:pPr>
              <w:pStyle w:val="Compact"/>
              <w:jc w:val="left"/>
            </w:pPr>
            <w:r>
              <w:t xml:space="preserve">$9,191,943</w:t>
            </w:r>
          </w:p>
        </w:tc>
        <w:tc>
          <w:tcPr/>
          <w:p>
            <w:pPr>
              <w:pStyle w:val="Compact"/>
              <w:jc w:val="left"/>
            </w:pPr>
            <w:r>
              <w:t xml:space="preserve">NA</w:t>
            </w:r>
          </w:p>
        </w:tc>
        <w:tc>
          <w:tcPr/>
          <w:p>
            <w:pPr>
              <w:pStyle w:val="Compact"/>
              <w:jc w:val="left"/>
            </w:pPr>
            <w:r>
              <w:t xml:space="preserve">$9,411,658</w:t>
            </w:r>
          </w:p>
        </w:tc>
      </w:tr>
      <w:tr>
        <w:tc>
          <w:tcPr/>
          <w:p>
            <w:pPr>
              <w:pStyle w:val="Compact"/>
              <w:jc w:val="left"/>
            </w:pPr>
            <w:r>
              <w:t xml:space="preserve">72068519LA00002</w:t>
            </w:r>
          </w:p>
        </w:tc>
        <w:tc>
          <w:tcPr/>
          <w:p>
            <w:pPr>
              <w:pStyle w:val="Compact"/>
              <w:jc w:val="right"/>
            </w:pPr>
            <w:r>
              <w:t xml:space="preserve">1362</w:t>
            </w:r>
          </w:p>
        </w:tc>
        <w:tc>
          <w:tcPr/>
          <w:p>
            <w:pPr>
              <w:pStyle w:val="Compact"/>
              <w:jc w:val="left"/>
            </w:pPr>
            <w:r>
              <w:t xml:space="preserve">TerresEauVie</w:t>
            </w:r>
          </w:p>
        </w:tc>
        <w:tc>
          <w:tcPr/>
          <w:p>
            <w:pPr>
              <w:pStyle w:val="Compact"/>
              <w:jc w:val="left"/>
            </w:pPr>
            <w:r>
              <w:t xml:space="preserve">NA</w:t>
            </w:r>
          </w:p>
        </w:tc>
        <w:tc>
          <w:tcPr/>
          <w:p>
            <w:pPr>
              <w:pStyle w:val="Compact"/>
              <w:jc w:val="left"/>
            </w:pPr>
            <w:r>
              <w:t xml:space="preserve">NA</w:t>
            </w:r>
          </w:p>
        </w:tc>
        <w:tc>
          <w:tcPr/>
          <w:p>
            <w:pPr>
              <w:pStyle w:val="Compact"/>
              <w:jc w:val="left"/>
            </w:pPr>
            <w:r>
              <w:t xml:space="preserve">114 591</w:t>
            </w:r>
          </w:p>
        </w:tc>
        <w:tc>
          <w:tcPr/>
          <w:p>
            <w:pPr>
              <w:pStyle w:val="Compact"/>
              <w:jc w:val="left"/>
            </w:pPr>
            <w:r>
              <w:t xml:space="preserve">NA</w:t>
            </w:r>
          </w:p>
        </w:tc>
      </w:tr>
      <w:tr>
        <w:tc>
          <w:tcPr/>
          <w:p>
            <w:pPr>
              <w:pStyle w:val="Compact"/>
              <w:jc w:val="left"/>
            </w:pPr>
            <w:r>
              <w:t xml:space="preserve">7200AA19C00080</w:t>
            </w:r>
          </w:p>
        </w:tc>
        <w:tc>
          <w:tcPr/>
          <w:p>
            <w:pPr>
              <w:pStyle w:val="Compact"/>
              <w:jc w:val="right"/>
            </w:pPr>
            <w:r>
              <w:t xml:space="preserve">1363</w:t>
            </w:r>
          </w:p>
        </w:tc>
        <w:tc>
          <w:tcPr/>
          <w:p>
            <w:pPr>
              <w:pStyle w:val="Compact"/>
              <w:jc w:val="left"/>
            </w:pPr>
            <w:r>
              <w:t xml:space="preserve">USAID CATALYZE buy-in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AID-625-A-14-00001</w:t>
            </w:r>
          </w:p>
        </w:tc>
        <w:tc>
          <w:tcPr/>
          <w:p>
            <w:pPr>
              <w:pStyle w:val="Compact"/>
              <w:jc w:val="right"/>
            </w:pPr>
            <w:r>
              <w:t xml:space="preserve">1356</w:t>
            </w:r>
          </w:p>
        </w:tc>
        <w:tc>
          <w:tcPr/>
          <w:p>
            <w:pPr>
              <w:pStyle w:val="Compact"/>
              <w:jc w:val="left"/>
            </w:pPr>
            <w:r>
              <w:t xml:space="preserve">SRP01: REGIS-ER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Sahel.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Sahel Regional Program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Sahel Regional Program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Sahel Regional Program</dc:title>
  <dc:creator/>
  <cp:keywords/>
  <dcterms:created xsi:type="dcterms:W3CDTF">2024-05-21T21:56:50Z</dcterms:created>
  <dcterms:modified xsi:type="dcterms:W3CDTF">2024-05-21T21:56:50Z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