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Bangladesh</w:t>
      </w:r>
    </w:p>
    <w:p>
      <w:pPr>
        <w:pStyle w:val="FirstParagraph"/>
      </w:pPr>
      <w:r>
        <w:t xml:space="preserve">This Feed the Future (FTF) Performance Scorecard assesses the USAID Bangladesh progress toward FY 2030 Performance Targets.</w:t>
      </w:r>
    </w:p>
    <w:bookmarkStart w:id="89"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Bangladesh%20(BANGLADESH)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Bangladesh%20(BANGLADESH)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Bangladesh.</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Bangladesh%20(BANGLADESH)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Bangladesh%20(BANGLADESH)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Bangladesh had 8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8 contributed to the sales total of $813,090,000.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Bangladesh%20(BANGLADESH)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Bangladesh%20(BANGLADESH)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Bangladesh had 3 IMs/Activities that reported all four sex disaggregates needed to contribute to PT2. The total value of financing among all activities, regardless of disaggregates, was $11,190,000 (EG.3.2-27 total), with $11,190,000 that was disaggregated by females and males, and an additional $0 to</w:t>
      </w:r>
      <w:r>
        <w:t xml:space="preserve"> </w:t>
      </w:r>
      <w:r>
        <w:t xml:space="preserve">‘</w:t>
      </w:r>
      <w:r>
        <w:t xml:space="preserve">mixed</w:t>
      </w:r>
      <w:r>
        <w:t xml:space="preserve">’</w:t>
      </w:r>
      <w:r>
        <w:t xml:space="preserve"> </w:t>
      </w:r>
      <w:r>
        <w:t xml:space="preserve">firms that have both males and females, and NA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Bangladesh%20(BANGLADESH)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Bangladesh%20(BANGLADESH)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Bangladesh had 19 activities that aligned the indicator for hectares under improved management practices (EG.3.2-25). Of those activities, 3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Bangladesh%20(BANGLADESH)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Bangladesh%20(BANGLADESH)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USAID Bangladesh had 7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7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Bangladesh%20(BANGLADESH)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Bangladesh%20(BANGLADESH)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The baseline population-based survey (PBS) for USAID Bangladesh was in 2018 and showed that 66% of women in the ZOI had consumed a minimally-diverse diet in the previous day or night. The FY30 target is 80% percent.The most recent PBS was in 2022, but results are not yet available. The following PBS is scheduled for .</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Bangladesh%20(BANGLADESH)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Bangladesh%20(BANGLADESH)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Bangladesh%20(BANGLADESH)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5 activities (out of the total 19 in the USAID Bangladesh (BANGLADESH) portfolio) that have the highest level of FY 2023 annual disbursements and highest reported values for the relevant indicators.</w:t>
      </w:r>
      <w:r>
        <w:t xml:space="preserve"> </w:t>
      </w:r>
      <w:r>
        <w:t xml:space="preserve">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1013"/>
        <w:gridCol w:w="887"/>
        <w:gridCol w:w="3801"/>
        <w:gridCol w:w="1203"/>
        <w:gridCol w:w="253"/>
        <w:gridCol w:w="253"/>
        <w:gridCol w:w="253"/>
        <w:gridCol w:w="253"/>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72038818CA00005</w:t>
            </w:r>
          </w:p>
        </w:tc>
        <w:tc>
          <w:tcPr/>
          <w:p>
            <w:pPr>
              <w:pStyle w:val="Compact"/>
              <w:jc w:val="right"/>
            </w:pPr>
            <w:r>
              <w:t xml:space="preserve">1616</w:t>
            </w:r>
          </w:p>
        </w:tc>
        <w:tc>
          <w:tcPr/>
          <w:p>
            <w:pPr>
              <w:pStyle w:val="Compact"/>
              <w:jc w:val="left"/>
            </w:pPr>
            <w:r>
              <w:t xml:space="preserve">FTF Bangladesh Nutrition Activity</w:t>
            </w:r>
          </w:p>
        </w:tc>
        <w:tc>
          <w:tcPr/>
          <w:p>
            <w:pPr>
              <w:pStyle w:val="Compact"/>
              <w:jc w:val="left"/>
            </w:pPr>
            <w:r>
              <w:t xml:space="preserve">$5,334,303</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72038818IO00002</w:t>
            </w:r>
          </w:p>
        </w:tc>
        <w:tc>
          <w:tcPr/>
          <w:p>
            <w:pPr>
              <w:pStyle w:val="Compact"/>
              <w:jc w:val="right"/>
            </w:pPr>
            <w:r>
              <w:t xml:space="preserve">1612</w:t>
            </w:r>
          </w:p>
        </w:tc>
        <w:tc>
          <w:tcPr/>
          <w:p>
            <w:pPr>
              <w:pStyle w:val="Compact"/>
              <w:jc w:val="left"/>
            </w:pPr>
            <w:r>
              <w:t xml:space="preserve">FTF Bangladesh Aquaculture Activity</w:t>
            </w:r>
          </w:p>
        </w:tc>
        <w:tc>
          <w:tcPr/>
          <w:p>
            <w:pPr>
              <w:pStyle w:val="Compact"/>
              <w:jc w:val="left"/>
            </w:pPr>
            <w:r>
              <w:t xml:space="preserve">$3,792,335</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r>
        <w:tc>
          <w:tcPr/>
          <w:p>
            <w:pPr>
              <w:pStyle w:val="Compact"/>
              <w:jc w:val="left"/>
            </w:pPr>
            <w:r>
              <w:t xml:space="preserve">72038821CA00005</w:t>
            </w:r>
          </w:p>
        </w:tc>
        <w:tc>
          <w:tcPr/>
          <w:p>
            <w:pPr>
              <w:pStyle w:val="Compact"/>
              <w:jc w:val="right"/>
            </w:pPr>
            <w:r>
              <w:t xml:space="preserve">4553</w:t>
            </w:r>
          </w:p>
        </w:tc>
        <w:tc>
          <w:tcPr/>
          <w:p>
            <w:pPr>
              <w:pStyle w:val="Compact"/>
              <w:jc w:val="left"/>
            </w:pPr>
            <w:r>
              <w:t xml:space="preserve">Feed the Future Bangladesh Livestock and Nutrition Activity</w:t>
            </w:r>
          </w:p>
        </w:tc>
        <w:tc>
          <w:tcPr/>
          <w:p>
            <w:pPr>
              <w:pStyle w:val="Compact"/>
              <w:jc w:val="left"/>
            </w:pPr>
            <w:r>
              <w:t xml:space="preserve">$3,723,131</w:t>
            </w:r>
          </w:p>
        </w:tc>
        <w:tc>
          <w:tcPr/>
          <w:p>
            <w:pPr>
              <w:pStyle w:val="Compact"/>
              <w:jc w:val="left"/>
            </w:pPr>
            <w:r>
              <w:t xml:space="preserve">X</w:t>
            </w:r>
          </w:p>
        </w:tc>
        <w:tc>
          <w:tcPr/>
          <w:p>
            <w:pPr>
              <w:pStyle w:val="Compact"/>
              <w:jc w:val="left"/>
            </w:pPr>
            <w:r>
              <w:t xml:space="preserve">X</w:t>
            </w:r>
          </w:p>
        </w:tc>
        <w:tc>
          <w:tcPr/>
          <w:p>
            <w:pPr>
              <w:pStyle w:val="Compact"/>
              <w:jc w:val="left"/>
            </w:pPr>
            <w:r>
              <w:t xml:space="preserve">-</w:t>
            </w:r>
          </w:p>
        </w:tc>
        <w:tc>
          <w:tcPr/>
          <w:p>
            <w:pPr>
              <w:pStyle w:val="Compact"/>
              <w:jc w:val="left"/>
            </w:pPr>
            <w:r>
              <w:t xml:space="preserve">X</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756"/>
        <w:gridCol w:w="557"/>
        <w:gridCol w:w="3621"/>
        <w:gridCol w:w="795"/>
        <w:gridCol w:w="517"/>
        <w:gridCol w:w="1233"/>
        <w:gridCol w:w="437"/>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PT1: Sales</w:t>
            </w:r>
          </w:p>
        </w:tc>
        <w:tc>
          <w:tcPr/>
          <w:p>
            <w:pPr>
              <w:pStyle w:val="Compact"/>
              <w:jc w:val="left"/>
            </w:pPr>
            <w:r>
              <w:t xml:space="preserve">PT3: Climate adaptive hectares</w:t>
            </w:r>
          </w:p>
        </w:tc>
        <w:tc>
          <w:tcPr/>
          <w:p>
            <w:pPr>
              <w:pStyle w:val="Compact"/>
              <w:jc w:val="left"/>
            </w:pPr>
            <w:r>
              <w:t xml:space="preserve">PT4: PSI</w:t>
            </w:r>
          </w:p>
        </w:tc>
      </w:tr>
      <w:tr>
        <w:tc>
          <w:tcPr/>
          <w:p>
            <w:pPr>
              <w:pStyle w:val="Compact"/>
              <w:jc w:val="left"/>
            </w:pPr>
            <w:r>
              <w:t xml:space="preserve">72038821CA00005</w:t>
            </w:r>
          </w:p>
        </w:tc>
        <w:tc>
          <w:tcPr/>
          <w:p>
            <w:pPr>
              <w:pStyle w:val="Compact"/>
              <w:jc w:val="right"/>
            </w:pPr>
            <w:r>
              <w:t xml:space="preserve">4553</w:t>
            </w:r>
          </w:p>
        </w:tc>
        <w:tc>
          <w:tcPr/>
          <w:p>
            <w:pPr>
              <w:pStyle w:val="Compact"/>
              <w:jc w:val="left"/>
            </w:pPr>
            <w:r>
              <w:t xml:space="preserve">Feed the Future Bangladesh Livestock and Nutrition Activity</w:t>
            </w:r>
          </w:p>
        </w:tc>
        <w:tc>
          <w:tcPr/>
          <w:p>
            <w:pPr>
              <w:pStyle w:val="Compact"/>
              <w:jc w:val="left"/>
            </w:pPr>
            <w:r>
              <w:t xml:space="preserve">$3,723,131</w:t>
            </w:r>
          </w:p>
        </w:tc>
        <w:tc>
          <w:tcPr/>
          <w:p>
            <w:pPr>
              <w:pStyle w:val="Compact"/>
              <w:jc w:val="left"/>
            </w:pPr>
            <w:r>
              <w:t xml:space="preserve">$967,707,611</w:t>
            </w:r>
          </w:p>
        </w:tc>
        <w:tc>
          <w:tcPr/>
          <w:p>
            <w:pPr>
              <w:pStyle w:val="Compact"/>
              <w:jc w:val="left"/>
            </w:pPr>
            <w:r>
              <w:t xml:space="preserve">NA</w:t>
            </w:r>
          </w:p>
        </w:tc>
        <w:tc>
          <w:tcPr/>
          <w:p>
            <w:pPr>
              <w:pStyle w:val="Compact"/>
              <w:jc w:val="left"/>
            </w:pPr>
            <w:r>
              <w:t xml:space="preserve">$979,564</w:t>
            </w:r>
          </w:p>
        </w:tc>
      </w:tr>
      <w:tr>
        <w:tc>
          <w:tcPr/>
          <w:p>
            <w:pPr>
              <w:pStyle w:val="Compact"/>
              <w:jc w:val="left"/>
            </w:pPr>
            <w:r>
              <w:t xml:space="preserve">72038818IO00002</w:t>
            </w:r>
          </w:p>
        </w:tc>
        <w:tc>
          <w:tcPr/>
          <w:p>
            <w:pPr>
              <w:pStyle w:val="Compact"/>
              <w:jc w:val="right"/>
            </w:pPr>
            <w:r>
              <w:t xml:space="preserve">1612</w:t>
            </w:r>
          </w:p>
        </w:tc>
        <w:tc>
          <w:tcPr/>
          <w:p>
            <w:pPr>
              <w:pStyle w:val="Compact"/>
              <w:jc w:val="left"/>
            </w:pPr>
            <w:r>
              <w:t xml:space="preserve">FTF Bangladesh Aquaculture Activity</w:t>
            </w:r>
          </w:p>
        </w:tc>
        <w:tc>
          <w:tcPr/>
          <w:p>
            <w:pPr>
              <w:pStyle w:val="Compact"/>
              <w:jc w:val="left"/>
            </w:pPr>
            <w:r>
              <w:t xml:space="preserve">$3,792,335</w:t>
            </w:r>
          </w:p>
        </w:tc>
        <w:tc>
          <w:tcPr/>
          <w:p>
            <w:pPr>
              <w:pStyle w:val="Compact"/>
              <w:jc w:val="left"/>
            </w:pPr>
            <w:r>
              <w:t xml:space="preserve">$611,504,370</w:t>
            </w:r>
          </w:p>
        </w:tc>
        <w:tc>
          <w:tcPr/>
          <w:p>
            <w:pPr>
              <w:pStyle w:val="Compact"/>
              <w:jc w:val="left"/>
            </w:pPr>
            <w:r>
              <w:t xml:space="preserve">NA</w:t>
            </w:r>
          </w:p>
        </w:tc>
        <w:tc>
          <w:tcPr/>
          <w:p>
            <w:pPr>
              <w:pStyle w:val="Compact"/>
              <w:jc w:val="left"/>
            </w:pPr>
            <w:r>
              <w:t xml:space="preserve">$712,898</w:t>
            </w:r>
          </w:p>
        </w:tc>
      </w:tr>
      <w:tr>
        <w:tc>
          <w:tcPr/>
          <w:p>
            <w:pPr>
              <w:pStyle w:val="Compact"/>
              <w:jc w:val="left"/>
            </w:pPr>
            <w:r>
              <w:t xml:space="preserve">72038820C00002</w:t>
            </w:r>
          </w:p>
        </w:tc>
        <w:tc>
          <w:tcPr/>
          <w:p>
            <w:pPr>
              <w:pStyle w:val="Compact"/>
              <w:jc w:val="right"/>
            </w:pPr>
            <w:r>
              <w:t xml:space="preserve">2227</w:t>
            </w:r>
          </w:p>
        </w:tc>
        <w:tc>
          <w:tcPr/>
          <w:p>
            <w:pPr>
              <w:pStyle w:val="Compact"/>
              <w:jc w:val="left"/>
            </w:pPr>
            <w:r>
              <w:t xml:space="preserve">Feed the Future Bangladesh Horticulture, Fruits, and Non-Food Crops Activity</w:t>
            </w:r>
          </w:p>
        </w:tc>
        <w:tc>
          <w:tcPr/>
          <w:p>
            <w:pPr>
              <w:pStyle w:val="Compact"/>
              <w:jc w:val="left"/>
            </w:pPr>
            <w:r>
              <w:t xml:space="preserve">NA</w:t>
            </w:r>
          </w:p>
        </w:tc>
        <w:tc>
          <w:tcPr/>
          <w:p>
            <w:pPr>
              <w:pStyle w:val="Compact"/>
              <w:jc w:val="left"/>
            </w:pPr>
            <w:r>
              <w:t xml:space="preserve">$143,081,782</w:t>
            </w:r>
          </w:p>
        </w:tc>
        <w:tc>
          <w:tcPr/>
          <w:p>
            <w:pPr>
              <w:pStyle w:val="Compact"/>
              <w:jc w:val="left"/>
            </w:pPr>
            <w:r>
              <w:t xml:space="preserve">11 420</w:t>
            </w:r>
          </w:p>
        </w:tc>
        <w:tc>
          <w:tcPr/>
          <w:p>
            <w:pPr>
              <w:pStyle w:val="Compact"/>
              <w:jc w:val="left"/>
            </w:pPr>
            <w:r>
              <w:t xml:space="preserve">$9,086,835</w:t>
            </w:r>
          </w:p>
        </w:tc>
      </w:tr>
      <w:tr>
        <w:tc>
          <w:tcPr/>
          <w:p>
            <w:pPr>
              <w:pStyle w:val="Compact"/>
              <w:jc w:val="left"/>
            </w:pPr>
            <w:r>
              <w:t xml:space="preserve">72038822CA00007</w:t>
            </w:r>
          </w:p>
        </w:tc>
        <w:tc>
          <w:tcPr/>
          <w:p>
            <w:pPr>
              <w:pStyle w:val="Compact"/>
              <w:jc w:val="right"/>
            </w:pPr>
            <w:r>
              <w:t xml:space="preserve">6002</w:t>
            </w:r>
          </w:p>
        </w:tc>
        <w:tc>
          <w:tcPr/>
          <w:p>
            <w:pPr>
              <w:pStyle w:val="Compact"/>
              <w:jc w:val="left"/>
            </w:pPr>
            <w:r>
              <w:t xml:space="preserve">SHOUHARDO III plus</w:t>
            </w:r>
          </w:p>
        </w:tc>
        <w:tc>
          <w:tcPr/>
          <w:p>
            <w:pPr>
              <w:pStyle w:val="Compact"/>
              <w:jc w:val="left"/>
            </w:pPr>
            <w:r>
              <w:t xml:space="preserve">$2,167,333</w:t>
            </w:r>
          </w:p>
        </w:tc>
        <w:tc>
          <w:tcPr/>
          <w:p>
            <w:pPr>
              <w:pStyle w:val="Compact"/>
              <w:jc w:val="left"/>
            </w:pPr>
            <w:r>
              <w:t xml:space="preserve">$51,922,143</w:t>
            </w:r>
          </w:p>
        </w:tc>
        <w:tc>
          <w:tcPr/>
          <w:p>
            <w:pPr>
              <w:pStyle w:val="Compact"/>
              <w:jc w:val="left"/>
            </w:pPr>
            <w:r>
              <w:t xml:space="preserve">6 573</w:t>
            </w:r>
          </w:p>
        </w:tc>
        <w:tc>
          <w:tcPr/>
          <w:p>
            <w:pPr>
              <w:pStyle w:val="Compact"/>
              <w:jc w:val="left"/>
            </w:pPr>
            <w:r>
              <w:t xml:space="preserve">NA</w:t>
            </w:r>
          </w:p>
        </w:tc>
      </w:tr>
      <w:tr>
        <w:tc>
          <w:tcPr/>
          <w:p>
            <w:pPr>
              <w:pStyle w:val="Compact"/>
              <w:jc w:val="left"/>
            </w:pPr>
            <w:r>
              <w:t xml:space="preserve">!! Not reported !!</w:t>
            </w:r>
          </w:p>
        </w:tc>
        <w:tc>
          <w:tcPr/>
          <w:p>
            <w:pPr>
              <w:pStyle w:val="Compact"/>
              <w:jc w:val="right"/>
            </w:pPr>
            <w:r>
              <w:t xml:space="preserve">1613</w:t>
            </w:r>
          </w:p>
        </w:tc>
        <w:tc>
          <w:tcPr/>
          <w:p>
            <w:pPr>
              <w:pStyle w:val="Compact"/>
              <w:jc w:val="left"/>
            </w:pPr>
            <w:r>
              <w:t xml:space="preserve">CSISA MEA - Cereal Systems Initiative in South Asia - Mechanization and Extension Activity</w:t>
            </w:r>
          </w:p>
        </w:tc>
        <w:tc>
          <w:tcPr/>
          <w:p>
            <w:pPr>
              <w:pStyle w:val="Compact"/>
              <w:jc w:val="left"/>
            </w:pPr>
            <w:r>
              <w:t xml:space="preserve">NA</w:t>
            </w:r>
          </w:p>
        </w:tc>
        <w:tc>
          <w:tcPr/>
          <w:p>
            <w:pPr>
              <w:pStyle w:val="Compact"/>
              <w:jc w:val="left"/>
            </w:pPr>
            <w:r>
              <w:t xml:space="preserve">$3,669,762</w:t>
            </w:r>
          </w:p>
        </w:tc>
        <w:tc>
          <w:tcPr/>
          <w:p>
            <w:pPr>
              <w:pStyle w:val="Compact"/>
              <w:jc w:val="left"/>
            </w:pPr>
            <w:r>
              <w:t xml:space="preserve">NA</w:t>
            </w:r>
          </w:p>
        </w:tc>
        <w:tc>
          <w:tcPr/>
          <w:p>
            <w:pPr>
              <w:pStyle w:val="Compact"/>
              <w:jc w:val="left"/>
            </w:pPr>
            <w:r>
              <w:t xml:space="preserve">$3,528,351</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BGD.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Bangladesh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Bangladesh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the following two components in each response:</w:t>
      </w:r>
    </w:p>
    <w:p>
      <w:pPr>
        <w:numPr>
          <w:ilvl w:val="0"/>
          <w:numId w:val="1002"/>
        </w:numPr>
      </w:pPr>
      <w:r>
        <w:t xml:space="preserve">An explanation of why this target is not on track. Explanations may include that the OU/Mission was not aware of the target prior to planning activities. (Limit 100 words)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 (Limit 100 words)</w:t>
      </w:r>
    </w:p>
    <w:bookmarkEnd w:id="81"/>
    <w:bookmarkEnd w:id="82"/>
    <w:bookmarkStart w:id="85" w:name="Xd3d8d6371966079386b3ab254a139384d93ee67"/>
    <w:p>
      <w:pPr>
        <w:pStyle w:val="Heading2"/>
      </w:pPr>
      <w:r>
        <w:t xml:space="preserve">Performance Target 2: Gender financing ratio [Not on Track]</w:t>
      </w:r>
    </w:p>
    <w:p>
      <w:pPr>
        <w:pStyle w:val="FirstParagraph"/>
      </w:pPr>
      <w:r>
        <w:rPr>
          <w:iCs/>
          <w:i/>
        </w:rPr>
        <w:t xml:space="preserve">Excerpt from FY23 KIN Section 4 to consider:</w:t>
      </w:r>
      <w:r>
        <w:t xml:space="preserve"> </w:t>
      </w:r>
      <w:r>
        <w:t xml:space="preserve">FTF Aquaculture and Nutrition, CSISA Mechanization and Extension (CSISA MEA), and FTF Livestock and Nutrition projects reported FY 2023 results against this indicator. Two of the projects exceeded their targets, but the Livestock project fell short and so the overall aggregate result was 39 percent lower than the target. Due to a delay in negotiations, the Livestock project was only able to partner with two financial service providers, out of its target of three, to extend livestock loans to dairy, beef, and goat farmers and other market actors. Therefore, it could not facilitate the targeted amounts of loan access. The outyear targets declined due to the Aquaculture project ending in FY 2023. For FY 2024, the CSISA MEA and the Livestock projects set targets of $1,100,000 and $7,058,878 respectively, based on their plans to facilitate access to credit for target beneficiaries. USAID will revisit the FY 2025 targets during the FY 2024 PPR and adjust as needed based on FY 2024 results, implementation experience, and start-up time of the new activities.</w:t>
      </w:r>
    </w:p>
    <w:bookmarkStart w:id="83" w:name="Xbba6a75f1478280c3a6186c2d1a30f1917e4791"/>
    <w:p>
      <w:pPr>
        <w:pStyle w:val="Heading4"/>
      </w:pPr>
      <w:r>
        <w:t xml:space="preserve">Enter USAID Bangladesh’s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3"/>
    <w:bookmarkStart w:id="84" w:name="X988745c598501ac42178e63c80d8c17e5015c99"/>
    <w:p>
      <w:pPr>
        <w:pStyle w:val="Heading4"/>
      </w:pPr>
      <w:r>
        <w:t xml:space="preserve">Enter USAID Bangladesh’s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4"/>
    <w:bookmarkEnd w:id="85"/>
    <w:bookmarkStart w:id="88" w:name="X8de971756c6e3bb20ee84819a72fbfe46c0d694"/>
    <w:p>
      <w:pPr>
        <w:pStyle w:val="Heading2"/>
      </w:pPr>
      <w:r>
        <w:t xml:space="preserve">Performance Target 3: Hectares under climate adaptive and risk management practices [Not on Track]</w:t>
      </w:r>
    </w:p>
    <w:p>
      <w:pPr>
        <w:pStyle w:val="FirstParagraph"/>
      </w:pPr>
      <w:r>
        <w:rPr>
          <w:iCs/>
          <w:i/>
        </w:rPr>
        <w:t xml:space="preserve">Excerpt from FY23 KIN Section 4 to consider:</w:t>
      </w:r>
      <w:r>
        <w:t xml:space="preserve"> </w:t>
      </w:r>
      <w:r>
        <w:t xml:space="preserve">total of seven projects reported FY 2023 results for this indicator, with the overall result being 47 percent higher than the target. This is primarily because of the overachievement by the Aquaculture project, the Horticulture project, and the Livestock project. The Aquaculture project, which was scheduled to end this year in February, received a time extension through November. As a result, the project was able to reach more aquaculture beneficiaries than targeted. The Horticulture project formed additional partnerships with input firms, which contributed to covering more crop lands. In addition, the Livestock project was able to cover more lands for fodder cultivation thanks to additional outreach and training for the farmers, leading to a higher area coverage. Future outyear targets will decline due to the Aquaculture project ending in 2023. The rest of the projects as well as the new CSA project have set FY 2024 and FY 2025 targets based on their annual work plans and FY 2023 implementation experience. USAID will revisit the FY 2025 targets during the FY 2024 PPR and adjust as needed based on FY 2024 results, implementation experience, and start-up time of the new activities.</w:t>
      </w:r>
    </w:p>
    <w:bookmarkStart w:id="86" w:name="X084be355b75c8b9b0b32d0a70fd764510954006"/>
    <w:p>
      <w:pPr>
        <w:pStyle w:val="Heading4"/>
      </w:pPr>
      <w:r>
        <w:t xml:space="preserve">Enter USAID Bangladesh’s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86"/>
    <w:bookmarkStart w:id="87" w:name="X828569846947bc435cdff13a67ae13117ce4dfd"/>
    <w:p>
      <w:pPr>
        <w:pStyle w:val="Heading4"/>
      </w:pPr>
      <w:r>
        <w:t xml:space="preserve">Enter USAID Bangladesh’s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87"/>
    <w:bookmarkEnd w:id="88"/>
    <w:bookmarkEnd w:id="89"/>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Bangladesh</dc:title>
  <dc:creator/>
  <cp:keywords/>
  <dcterms:created xsi:type="dcterms:W3CDTF">2024-05-21T21:54:49Z</dcterms:created>
  <dcterms:modified xsi:type="dcterms:W3CDTF">2024-05-21T21:54:49Z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