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Colombia</w:t>
      </w:r>
    </w:p>
    <w:p>
      <w:pPr>
        <w:pStyle w:val="FirstParagraph"/>
      </w:pPr>
      <w:r>
        <w:t xml:space="preserve">This Feed the Future (FTF) Performance Scorecard assesses the USAID Colombia progress toward FY 2030 Performance Targets.</w:t>
      </w:r>
    </w:p>
    <w:bookmarkStart w:id="9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Colombia%20(COLOMB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Colombia%20(COLOMB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Colombia.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Colombia%20(COLOMB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Colombia%20(COLOMB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$1,410,000.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Colombia%20(COLOMB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Colombia%20(COLOMB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Colombia%20(COLOMB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Colombia%20(COLOMB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6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Colombia%20(COLOMB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Colombia%20(COLOMB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Colombia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Colombia%20(COLOMB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Colombia%20(COLOMB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Colombia.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Colombia%20(COLOMB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Colombia%20(COLOMB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Colombia%20(COLOMB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6 in the USAID Colombia (COLOMBIA)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098"/>
        <w:gridCol w:w="809"/>
        <w:gridCol w:w="1792"/>
        <w:gridCol w:w="1156"/>
        <w:gridCol w:w="635"/>
        <w:gridCol w:w="1792"/>
        <w:gridCol w:w="63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72051419CA00005</w:t>
            </w:r>
          </w:p>
        </w:tc>
        <w:tc>
          <w:tcPr/>
          <w:p>
            <w:pPr>
              <w:pStyle w:val="Compact"/>
              <w:jc w:val="right"/>
            </w:pPr>
            <w:r>
              <w:t xml:space="preserve">4614</w:t>
            </w:r>
          </w:p>
        </w:tc>
        <w:tc>
          <w:tcPr/>
          <w:p>
            <w:pPr>
              <w:pStyle w:val="Compact"/>
              <w:jc w:val="left"/>
            </w:pPr>
            <w:r>
              <w:t xml:space="preserve">The Cacao Effect</w:t>
            </w:r>
          </w:p>
        </w:tc>
        <w:tc>
          <w:tcPr/>
          <w:p>
            <w:pPr>
              <w:pStyle w:val="Compact"/>
              <w:jc w:val="left"/>
            </w:pPr>
            <w:r>
              <w:t xml:space="preserve">NA</w:t>
            </w:r>
          </w:p>
        </w:tc>
        <w:tc>
          <w:tcPr/>
          <w:p>
            <w:pPr>
              <w:pStyle w:val="Compact"/>
              <w:jc w:val="left"/>
            </w:pPr>
            <w:r>
              <w:t xml:space="preserve">$1,405,475</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72051419CA00006</w:t>
            </w:r>
          </w:p>
        </w:tc>
        <w:tc>
          <w:tcPr/>
          <w:p>
            <w:pPr>
              <w:pStyle w:val="Compact"/>
              <w:jc w:val="right"/>
            </w:pPr>
            <w:r>
              <w:t xml:space="preserve">4612</w:t>
            </w:r>
          </w:p>
        </w:tc>
        <w:tc>
          <w:tcPr/>
          <w:p>
            <w:pPr>
              <w:pStyle w:val="Compact"/>
              <w:jc w:val="left"/>
            </w:pPr>
            <w:r>
              <w:t xml:space="preserve">Bitter Casava for a Sweet Milk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$8,740,005</w:t>
            </w:r>
          </w:p>
        </w:tc>
      </w:tr>
      <w:tr>
        <w:tc>
          <w:tcPr/>
          <w:p>
            <w:pPr>
              <w:pStyle w:val="Compact"/>
              <w:jc w:val="left"/>
            </w:pPr>
            <w:r>
              <w:t xml:space="preserve">AID-514-H-17-00001</w:t>
            </w:r>
          </w:p>
        </w:tc>
        <w:tc>
          <w:tcPr/>
          <w:p>
            <w:pPr>
              <w:pStyle w:val="Compact"/>
              <w:jc w:val="right"/>
            </w:pPr>
            <w:r>
              <w:t xml:space="preserve">4615</w:t>
            </w:r>
          </w:p>
        </w:tc>
        <w:tc>
          <w:tcPr/>
          <w:p>
            <w:pPr>
              <w:pStyle w:val="Compact"/>
              <w:jc w:val="left"/>
            </w:pPr>
            <w:r>
              <w:t xml:space="preserve">Natural Wealth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COL.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Colombia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Colombia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target was exceeded by 8%. The increase in international prices for agricultural commodities helped to boost sales during FY23 (specially the increase in price for cacao in international markets as an export product: +150% for 2023 vs. 2022 ) Deviation Narrative (explain why your FY 2023 Actual did or did not meet its target): The increase in international prices for agricultural commodities helped to boost sales during FY23 (specially the increase in price for cacao in international markets as an export product: +150% for 2023 vs. 2022 ) If you met or exceeded your target, describe successful or promising practices that contributed to this sustained or improved progress to incorporate into your ongoing adaptive management. The tailored technical assistance for the specific needs per value chain and geography (especially for cocoa and dairy) helped to mitigate unexpected weather conditions.</w:t>
      </w:r>
    </w:p>
    <w:bookmarkStart w:id="83" w:name="Xd59e62412b81c370aa79ad05853c70231a85797"/>
    <w:p>
      <w:pPr>
        <w:pStyle w:val="Heading4"/>
      </w:pPr>
      <w:r>
        <w:t xml:space="preserve">Enter USAID Colombia’s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9ac754416b2b21d6b665ed52dc0c0871d4ce1fc"/>
    <w:p>
      <w:pPr>
        <w:pStyle w:val="Heading4"/>
      </w:pPr>
      <w:r>
        <w:t xml:space="preserve">Enter USAID Colombia’s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target for FY23 was met. For FY23, a total of 580.5 hectares were under improved management. The Cacao Effect GDA, was able to support additional hectares due to the resources leveraged from ENEL, a private partner from the energy sector in Colombia. Some of those hectares received cocoa seedlings for new crops; other hectares were under rehabilitation activities to replace low-production plants with more productive breeds. The full set of supported hectares from the cocoa farmers were supported by extension services, supply of fertilizers and training on cocoa production. The Colanta GDA - Bitter Cassava for a Sweet Milk support to the dairy production system was driven by the increasing demand of pasture renovation services, as the farmers considered this assistance a high quality and cost-effective strategy. For the industrial cassava, the process was related to the preparation for the planting season.</w:t>
      </w:r>
    </w:p>
    <w:bookmarkStart w:id="86" w:name="X99d95769d03234e31ad1147120595f007eeab2f"/>
    <w:p>
      <w:pPr>
        <w:pStyle w:val="Heading4"/>
      </w:pPr>
      <w:r>
        <w:t xml:space="preserve">Enter USAID Colombia’s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f1fe2e44ee2a1178555d16bf9bd392da9dd7fc5"/>
    <w:p>
      <w:pPr>
        <w:pStyle w:val="Heading4"/>
      </w:pPr>
      <w:r>
        <w:t xml:space="preserve">Enter USAID Colombia’s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Start w:id="91"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target for FY23 was met. For FY23, a total of 580.5 hectares were under improved management. The Cacao Effect GDA, was able to support additional hectares due to the resources leveraged from ENEL, a private partner from the energy sector in Colombia. Some of those hectares received cocoa seedlings for new crops; other hectares were under rehabilitation activities to replace low-production plants with more productive breeds. The full set of supported hectares from the cocoa farmers were supported by extension services, supply of fertilizers and training on cocoa production. The Colanta GDA - Bitter Cassava for a Sweet Milk support to the dairy production system was driven by the increasing demand of pasture renovation services, as the farmers considered this assistance a high quality and cost-effective strategy. For the industrial cassava, the process was related to the preparation for the planting season.</w:t>
      </w:r>
    </w:p>
    <w:bookmarkStart w:id="89" w:name="Xdb76876e84d8c46c06054d7c0023b9b696ca7f8"/>
    <w:p>
      <w:pPr>
        <w:pStyle w:val="Heading4"/>
      </w:pPr>
      <w:r>
        <w:t xml:space="preserve">Enter USAID Colombia’s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9"/>
    <w:bookmarkStart w:id="90" w:name="X47ae747734b3fcb41cd4f29b7e3e5126b526800"/>
    <w:p>
      <w:pPr>
        <w:pStyle w:val="Heading4"/>
      </w:pPr>
      <w:r>
        <w:t xml:space="preserve">Enter USAID Colombia’s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0"/>
    <w:bookmarkEnd w:id="91"/>
    <w:bookmarkEnd w:id="9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Colombia</dc:title>
  <dc:creator/>
  <cp:keywords/>
  <dcterms:created xsi:type="dcterms:W3CDTF">2024-05-21T21:55:06Z</dcterms:created>
  <dcterms:modified xsi:type="dcterms:W3CDTF">2024-05-21T21:55:06Z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