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Madagascar</w:t>
      </w:r>
    </w:p>
    <w:p>
      <w:pPr>
        <w:pStyle w:val="FirstParagraph"/>
      </w:pPr>
      <w:r>
        <w:t xml:space="preserve">This Feed the Future (FTF) Performance Scorecard assesses the USAID Madagascar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Madagascar%20(MADAGASCAR)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Madagascar%20(MADAGASCAR)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Madagascar.</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Madagascar%20(MADAGASCAR)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Madagascar%20(MADAGASCAR)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Madagascar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$720,000.</w:t>
      </w:r>
      <w:r>
        <w:br/>
      </w:r>
      <w:r>
        <w:t xml:space="preserve">Note that while USAID Madagascar was</w:t>
      </w:r>
      <w:r>
        <w:t xml:space="preserve"> </w:t>
      </w:r>
      <w:r>
        <w:t xml:space="preserve">‘</w:t>
      </w:r>
      <w:r>
        <w:t xml:space="preserve">On track</w:t>
      </w:r>
      <w:r>
        <w:t xml:space="preserve">’</w:t>
      </w:r>
      <w:r>
        <w:t xml:space="preserve"> </w:t>
      </w:r>
      <w:r>
        <w:t xml:space="preserve">in FY23, it expects a substantial decrease in FY24. Such an increase would make it</w:t>
      </w:r>
      <w:r>
        <w:t xml:space="preserve"> </w:t>
      </w:r>
      <w:r>
        <w:t xml:space="preserve">‘</w:t>
      </w:r>
      <w:r>
        <w:t xml:space="preserve">Not on track</w:t>
      </w:r>
      <w:r>
        <w:t xml:space="preserve">’</w:t>
      </w:r>
      <w:r>
        <w:t xml:space="preserve"> </w:t>
      </w:r>
      <w:r>
        <w:t xml:space="preserve">for this performance indicator.</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Madagascar%20(MADAGASCAR)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Madagascar%20(MADAGASCAR)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Madagascar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Madagascar%20(MADAGASCAR)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Madagascar%20(MADAGASCAR)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Madagascar had 4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Madagascar%20(MADAGASCAR)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Madagascar%20(MADAGASCAR)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Madagascar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Madagascar%20(MADAGASCAR)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Madagascar%20(MADAGASCAR)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Madagascar.</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Madagascar%20(MADAGASCAR)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Madagascar%20(MADAGASCAR)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Madagascar%20(MADAGASCAR)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4 activities (out of the total 4 in the USAID Madagascar (MADAGASCAR)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101"/>
        <w:gridCol w:w="964"/>
        <w:gridCol w:w="964"/>
        <w:gridCol w:w="1377"/>
        <w:gridCol w:w="757"/>
        <w:gridCol w:w="2134"/>
        <w:gridCol w:w="619"/>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72DFFP19CA00005</w:t>
            </w:r>
          </w:p>
        </w:tc>
        <w:tc>
          <w:tcPr/>
          <w:p>
            <w:pPr>
              <w:pStyle w:val="Compact"/>
              <w:jc w:val="right"/>
            </w:pPr>
            <w:r>
              <w:t xml:space="preserve">1585</w:t>
            </w:r>
          </w:p>
        </w:tc>
        <w:tc>
          <w:tcPr/>
          <w:p>
            <w:pPr>
              <w:pStyle w:val="Compact"/>
              <w:jc w:val="left"/>
            </w:pPr>
            <w:r>
              <w:t xml:space="preserve">FIOVANA</w:t>
            </w:r>
          </w:p>
        </w:tc>
        <w:tc>
          <w:tcPr/>
          <w:p>
            <w:pPr>
              <w:pStyle w:val="Compact"/>
              <w:jc w:val="left"/>
            </w:pPr>
            <w:r>
              <w:t xml:space="preserve">NA</w:t>
            </w:r>
          </w:p>
        </w:tc>
        <w:tc>
          <w:tcPr/>
          <w:p>
            <w:pPr>
              <w:pStyle w:val="Compact"/>
              <w:jc w:val="left"/>
            </w:pPr>
            <w:r>
              <w:t xml:space="preserve">$717,319</w:t>
            </w:r>
          </w:p>
        </w:tc>
        <w:tc>
          <w:tcPr/>
          <w:p>
            <w:pPr>
              <w:pStyle w:val="Compact"/>
              <w:jc w:val="left"/>
            </w:pPr>
            <w:r>
              <w:t xml:space="preserve">522</w:t>
            </w:r>
          </w:p>
        </w:tc>
        <w:tc>
          <w:tcPr/>
          <w:p>
            <w:pPr>
              <w:pStyle w:val="Compact"/>
              <w:jc w:val="left"/>
            </w:pPr>
            <w:r>
              <w:t xml:space="preserve">NA</w:t>
            </w:r>
          </w:p>
        </w:tc>
      </w:tr>
      <w:tr>
        <w:tc>
          <w:tcPr/>
          <w:p>
            <w:pPr>
              <w:pStyle w:val="Compact"/>
              <w:jc w:val="left"/>
            </w:pPr>
            <w:r>
              <w:t xml:space="preserve">72DFFP19CA00006</w:t>
            </w:r>
          </w:p>
        </w:tc>
        <w:tc>
          <w:tcPr/>
          <w:p>
            <w:pPr>
              <w:pStyle w:val="Compact"/>
              <w:jc w:val="right"/>
            </w:pPr>
            <w:r>
              <w:t xml:space="preserve">1586</w:t>
            </w:r>
          </w:p>
        </w:tc>
        <w:tc>
          <w:tcPr/>
          <w:p>
            <w:pPr>
              <w:pStyle w:val="Compact"/>
              <w:jc w:val="left"/>
            </w:pPr>
            <w:r>
              <w:t xml:space="preserve">MAHARO</w:t>
            </w:r>
          </w:p>
        </w:tc>
        <w:tc>
          <w:tcPr/>
          <w:p>
            <w:pPr>
              <w:pStyle w:val="Compact"/>
              <w:jc w:val="left"/>
            </w:pPr>
            <w:r>
              <w:t xml:space="preserve">NA</w:t>
            </w:r>
          </w:p>
        </w:tc>
        <w:tc>
          <w:tcPr/>
          <w:p>
            <w:pPr>
              <w:pStyle w:val="Compact"/>
              <w:jc w:val="left"/>
            </w:pPr>
            <w:r>
              <w:t xml:space="preserve">$1,816</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MDG.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Madagascar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Madagascar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promoted the use of certified seeds with varieties adapted to the climatic conditions of the Southeast Region, mulching, installation of anti-erosion strip with use of fixative plants, establishment of infiltration and protection canal, installation of living hedges/windbreaks, and agroforestry to optimize the rational exploitation of soil at risk. However, targets were not met due to the two main factors; (1) delayed voucher system did not make certified seeds available for farmers to use; (2) high rainfall in the Southeast regions hampered the implementation of these techniques. In FY24, monitoring of the replication of promoted technologies will be strengthened to reach the target. The activity will also be set up by local service providers closer to the community to facilitate producers’ access to inputs.</w:t>
      </w:r>
    </w:p>
    <w:bookmarkStart w:id="83" w:name="X812054c60b09b4a985ce389d206a15faf73b3b7"/>
    <w:p>
      <w:pPr>
        <w:pStyle w:val="Heading4"/>
      </w:pPr>
      <w:r>
        <w:t xml:space="preserve">Enter USAID Madagascar’s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ef92b16414f47fbbf4e58fd5d3ebc9acb915308"/>
    <w:p>
      <w:pPr>
        <w:pStyle w:val="Heading4"/>
      </w:pPr>
      <w:r>
        <w:t xml:space="preserve">Enter USAID Madagascar’s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Madagascar</dc:title>
  <dc:creator/>
  <cp:keywords/>
  <dcterms:created xsi:type="dcterms:W3CDTF">2024-05-21T21:55:55Z</dcterms:created>
  <dcterms:modified xsi:type="dcterms:W3CDTF">2024-05-21T21:55:55Z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