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52.png" ContentType="image/png"/>
  <Override PartName="/word/media/rId49.png" ContentType="image/png"/>
  <Override PartName="/word/media/rId69.png" ContentType="image/png"/>
  <Override PartName="/word/media/rId73.png" ContentType="image/png"/>
  <Override PartName="/word/media/rId64.png" ContentType="image/png"/>
  <Override PartName="/word/media/rId38.png" ContentType="image/png"/>
  <Override PartName="/word/media/rId35.png" ContentType="image/png"/>
  <Override PartName="/word/media/rId45.png" ContentType="image/png"/>
  <Override PartName="/word/media/rId42.png" ContentType="image/png"/>
  <Override PartName="/word/media/rId56.png" ContentType="image/png"/>
  <Override PartName="/word/media/rId59.png" ContentType="image/png"/>
  <Override PartName="/word/media/rId23.png" ContentType="image/png"/>
  <Override PartName="/word/media/rId32.png" ContentType="image/png"/>
  <Override PartName="/word/media/rId29.png" ContentType="image/png"/>
  <Override PartName="/word/media/rId20.png" ContentType="image/png"/>
  <Override PartName="/word/media/rId78.png" ContentType="image/png"/>
  <Override PartName="/word/media/image1.png" ContentType="image/png"/>
  <Override PartName="/word/media/image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FTF</w:t>
      </w:r>
      <w:r>
        <w:t xml:space="preserve"> </w:t>
      </w:r>
      <w:r>
        <w:t xml:space="preserve">FY</w:t>
      </w:r>
      <w:r>
        <w:t xml:space="preserve"> </w:t>
      </w:r>
      <w:r>
        <w:t xml:space="preserve">2023</w:t>
      </w:r>
      <w:r>
        <w:t xml:space="preserve"> </w:t>
      </w:r>
      <w:r>
        <w:t xml:space="preserve">Performance</w:t>
      </w:r>
      <w:r>
        <w:t xml:space="preserve"> </w:t>
      </w:r>
      <w:r>
        <w:t xml:space="preserve">Scorecard</w:t>
      </w:r>
      <w:r>
        <w:t xml:space="preserve"> </w:t>
      </w:r>
      <w:r>
        <w:t xml:space="preserve">USAID</w:t>
      </w:r>
      <w:r>
        <w:t xml:space="preserve"> </w:t>
      </w:r>
      <w:r>
        <w:t xml:space="preserve">Mozambique</w:t>
      </w:r>
    </w:p>
    <w:p>
      <w:pPr>
        <w:pStyle w:val="FirstParagraph"/>
      </w:pPr>
      <w:r>
        <w:t xml:space="preserve">This Feed the Future (FTF) Performance Scorecard assesses the USAID Mozambique progress toward FY 2030 Performance Targets.</w:t>
      </w:r>
    </w:p>
    <w:bookmarkStart w:id="95" w:name="performance-overview"/>
    <w:p>
      <w:pPr>
        <w:pStyle w:val="Heading1"/>
      </w:pPr>
      <w:r>
        <w:t xml:space="preserve">Performance Overview</w:t>
      </w:r>
    </w:p>
    <w:p>
      <w:pPr>
        <w:pStyle w:val="FirstParagraph"/>
      </w:pPr>
      <w:r>
        <w:drawing>
          <wp:inline>
            <wp:extent cx="5943600" cy="685800"/>
            <wp:effectExtent b="0" l="0" r="0" t="0"/>
            <wp:docPr descr="" title="" id="21" name="Picture"/>
            <a:graphic>
              <a:graphicData uri="http://schemas.openxmlformats.org/drawingml/2006/picture">
                <pic:pic>
                  <pic:nvPicPr>
                    <pic:cNvPr descr="C:\Users\rythomas\Documents\R_scripts\country_scorecards\country_scorecards\output\USAID%20Mozambique%20(MOZAMBIQUE)_files/figure-docx/stars-1.png" id="22" name="Picture"/>
                    <pic:cNvPicPr>
                      <a:picLocks noChangeArrowheads="1" noChangeAspect="1"/>
                    </pic:cNvPicPr>
                  </pic:nvPicPr>
                  <pic:blipFill>
                    <a:blip r:embed="rId20"/>
                    <a:stretch>
                      <a:fillRect/>
                    </a:stretch>
                  </pic:blipFill>
                  <pic:spPr bwMode="auto">
                    <a:xfrm>
                      <a:off x="0" y="0"/>
                      <a:ext cx="5943600" cy="685800"/>
                    </a:xfrm>
                    <a:prstGeom prst="rect">
                      <a:avLst/>
                    </a:prstGeom>
                    <a:noFill/>
                    <a:ln w="9525">
                      <a:noFill/>
                      <a:headEnd/>
                      <a:tailEnd/>
                    </a:ln>
                  </pic:spPr>
                </pic:pic>
              </a:graphicData>
            </a:graphic>
          </wp:inline>
        </w:drawing>
      </w:r>
    </w:p>
    <w:p>
      <w:pPr>
        <w:pStyle w:val="BodyText"/>
      </w:pPr>
      <w:r>
        <w:t xml:space="preserve">The FY 2023</w:t>
      </w:r>
      <w:r>
        <w:t xml:space="preserve"> </w:t>
      </w:r>
      <w:r>
        <w:rPr>
          <w:bCs/>
          <w:b/>
        </w:rPr>
        <w:t xml:space="preserve">On track</w:t>
      </w:r>
      <w:r>
        <w:t xml:space="preserve"> </w:t>
      </w:r>
      <w:r>
        <w:t xml:space="preserve">value is determined by drawing a line from the baseline (FY 2022) to the FY 2030 Target. For FY 2023, Performance Targets are considered</w:t>
      </w:r>
      <w:r>
        <w:t xml:space="preserve"> </w:t>
      </w:r>
      <w:r>
        <w:rPr>
          <w:bCs/>
          <w:b/>
        </w:rPr>
        <w:t xml:space="preserve">On track</w:t>
      </w:r>
      <w:r>
        <w:t xml:space="preserve"> </w:t>
      </w:r>
      <w:r>
        <w:t xml:space="preserve">if they have reported at least 90% of that value.</w:t>
      </w:r>
    </w:p>
    <w:p>
      <w:pPr>
        <w:pStyle w:val="BodyText"/>
      </w:pPr>
      <w:r>
        <w:drawing>
          <wp:inline>
            <wp:extent cx="5943600" cy="2514600"/>
            <wp:effectExtent b="0" l="0" r="0" t="0"/>
            <wp:docPr descr="" title="" id="24" name="Picture"/>
            <a:graphic>
              <a:graphicData uri="http://schemas.openxmlformats.org/drawingml/2006/picture">
                <pic:pic>
                  <pic:nvPicPr>
                    <pic:cNvPr descr="C:\Users\rythomas\Documents\R_scripts\country_scorecards\country_scorecards\output\USAID%20Mozambique%20(MOZAMBIQUE)_files/figure-docx/overview%20plot-1.png" id="25" name="Picture"/>
                    <pic:cNvPicPr>
                      <a:picLocks noChangeArrowheads="1" noChangeAspect="1"/>
                    </pic:cNvPicPr>
                  </pic:nvPicPr>
                  <pic:blipFill>
                    <a:blip r:embed="rId23"/>
                    <a:stretch>
                      <a:fillRect/>
                    </a:stretch>
                  </pic:blipFill>
                  <pic:spPr bwMode="auto">
                    <a:xfrm>
                      <a:off x="0" y="0"/>
                      <a:ext cx="5943600" cy="2514600"/>
                    </a:xfrm>
                    <a:prstGeom prst="rect">
                      <a:avLst/>
                    </a:prstGeom>
                    <a:noFill/>
                    <a:ln w="9525">
                      <a:noFill/>
                      <a:headEnd/>
                      <a:tailEnd/>
                    </a:ln>
                  </pic:spPr>
                </pic:pic>
              </a:graphicData>
            </a:graphic>
          </wp:inline>
        </w:drawing>
      </w:r>
    </w:p>
    <w:p>
      <w:pPr>
        <w:pStyle w:val="BodyText"/>
      </w:pPr>
      <w:r>
        <w:rPr>
          <w:bCs/>
          <w:b/>
        </w:rPr>
        <w:t xml:space="preserve">Note:</w:t>
      </w:r>
      <w:r>
        <w:t xml:space="preserve"> </w:t>
      </w:r>
      <w:r>
        <w:rPr>
          <w:iCs/>
          <w:i/>
        </w:rPr>
        <w:t xml:space="preserve">For Performance Target 2 (Gender financing ratio), the target is to increase financing to females for those OUs that are already achieving parity ($1).</w:t>
      </w:r>
    </w:p>
    <w:p>
      <w:pPr>
        <w:pStyle w:val="BodyText"/>
      </w:pPr>
      <w:r>
        <w:rPr>
          <w:iCs/>
          <w:i/>
        </w:rPr>
        <w:t xml:space="preserve">For Performance Target 4 (PSI), all targets are relative to the last three years’ reporting. In future years, the interim targets may increase.</w:t>
      </w:r>
    </w:p>
    <w:p>
      <w:pPr>
        <w:pStyle w:val="BodyText"/>
      </w:pPr>
      <w:r>
        <w:rPr>
          <w:iCs/>
          <w:i/>
        </w:rPr>
        <w:t xml:space="preserve">For Performance Target 5 (MDD-W), all FY23 actual values are also the baseline, and may have been collected in a prior year. See the detail page for more information.</w:t>
      </w:r>
    </w:p>
    <w:p>
      <w:pPr>
        <w:pStyle w:val="BodyText"/>
      </w:pPr>
      <w:r>
        <w:rPr>
          <w:iCs/>
          <w:i/>
        </w:rPr>
        <w:t xml:space="preserve">See detailed</w:t>
      </w:r>
      <w:r>
        <w:rPr>
          <w:iCs/>
          <w:i/>
        </w:rPr>
        <w:t xml:space="preserve"> </w:t>
      </w:r>
      <w:hyperlink r:id="rId26">
        <w:r>
          <w:rPr>
            <w:rStyle w:val="Hyperlink"/>
            <w:iCs/>
            <w:i/>
          </w:rPr>
          <w:t xml:space="preserve">methodology document</w:t>
        </w:r>
      </w:hyperlink>
      <w:r>
        <w:rPr>
          <w:iCs/>
          <w:i/>
        </w:rPr>
        <w:t xml:space="preserve"> </w:t>
      </w:r>
      <w:r>
        <w:rPr>
          <w:iCs/>
          <w:i/>
        </w:rPr>
        <w:t xml:space="preserve">here. If you have questions, please email the FTF Data and Analytics team at</w:t>
      </w:r>
      <w:r>
        <w:t xml:space="preserve"> </w:t>
      </w:r>
      <w:hyperlink r:id="rId27">
        <w:r>
          <w:rPr>
            <w:rStyle w:val="Hyperlink"/>
          </w:rPr>
          <w:t xml:space="preserve">refs.adl.da@usaid.gov</w:t>
        </w:r>
      </w:hyperlink>
      <w:r>
        <w:t xml:space="preserve">.</w:t>
      </w:r>
    </w:p>
    <w:bookmarkStart w:id="28" w:name="performance-target-pt-details"/>
    <w:p>
      <w:pPr>
        <w:pStyle w:val="Heading3"/>
      </w:pPr>
      <w:r>
        <w:t xml:space="preserve">Performance Target (PT) Details</w:t>
      </w:r>
    </w:p>
    <w:p>
      <w:pPr>
        <w:pStyle w:val="FirstParagraph"/>
      </w:pPr>
      <w:r>
        <w:t xml:space="preserve">This section shows PT scores for each applicable PT for USAID Mozambique.</w:t>
      </w:r>
    </w:p>
    <w:bookmarkEnd w:id="28"/>
    <w:bookmarkStart w:id="68" w:name="X91db6fd6dafe90bb4c8fb5ecb3e907e131f0a75"/>
    <w:p>
      <w:pPr>
        <w:pStyle w:val="Heading2"/>
      </w:pPr>
      <w:r>
        <w:t xml:space="preserve">Performance Target 1: Value of annual sales of producers and firms receiving USG assistance</w:t>
      </w:r>
    </w:p>
    <w:p>
      <w:pPr>
        <w:pStyle w:val="FirstParagraph"/>
      </w:pPr>
      <w:r>
        <w:drawing>
          <wp:inline>
            <wp:extent cx="5943600" cy="457200"/>
            <wp:effectExtent b="0" l="0" r="0" t="0"/>
            <wp:docPr descr="" title="" id="30" name="Picture"/>
            <a:graphic>
              <a:graphicData uri="http://schemas.openxmlformats.org/drawingml/2006/picture">
                <pic:pic>
                  <pic:nvPicPr>
                    <pic:cNvPr descr="C:\Users\rythomas\Documents\R_scripts\country_scorecards\country_scorecards\output\USAID%20Mozambique%20(MOZAMBIQUE)_files/figure-docx/sales%20text-1.png" id="31" name="Picture"/>
                    <pic:cNvPicPr>
                      <a:picLocks noChangeArrowheads="1" noChangeAspect="1"/>
                    </pic:cNvPicPr>
                  </pic:nvPicPr>
                  <pic:blipFill>
                    <a:blip r:embed="rId29"/>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33" name="Picture"/>
            <a:graphic>
              <a:graphicData uri="http://schemas.openxmlformats.org/drawingml/2006/picture">
                <pic:pic>
                  <pic:nvPicPr>
                    <pic:cNvPr descr="C:\Users\rythomas\Documents\R_scripts\country_scorecards\country_scorecards\output\USAID%20Mozambique%20(MOZAMBIQUE)_files/figure-docx/sales%20plot-1.png" id="34" name="Picture"/>
                    <pic:cNvPicPr>
                      <a:picLocks noChangeArrowheads="1" noChangeAspect="1"/>
                    </pic:cNvPicPr>
                  </pic:nvPicPr>
                  <pic:blipFill>
                    <a:blip r:embed="rId32"/>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In FY 2023, USAID Mozambique had 5 activities that aligned the</w:t>
      </w:r>
      <w:r>
        <w:t xml:space="preserve"> </w:t>
      </w:r>
      <w:r>
        <w:t xml:space="preserve">‘</w:t>
      </w:r>
      <w:r>
        <w:t xml:space="preserve">Value of annual sales from producers and firms receiving USG assistance</w:t>
      </w:r>
      <w:r>
        <w:t xml:space="preserve">’</w:t>
      </w:r>
      <w:r>
        <w:t xml:space="preserve"> </w:t>
      </w:r>
      <w:r>
        <w:t xml:space="preserve">(EG.3.2-26), and 5 contributed to the sales total of $210,000.</w:t>
      </w:r>
    </w:p>
    <w:bookmarkStart w:id="41" w:name="Xa1d4ca5cff4a3e17dcc0dbc35e251afa9fc1a9d"/>
    <w:p>
      <w:pPr>
        <w:pStyle w:val="Heading6"/>
      </w:pPr>
      <w:r>
        <w:t xml:space="preserve">Performance Target 2: Value of financing accessed by female FTF participants per $1 of financing accessed by male FTF participants</w:t>
      </w:r>
    </w:p>
    <w:p>
      <w:pPr>
        <w:pStyle w:val="FirstParagraph"/>
      </w:pPr>
      <w:r>
        <w:drawing>
          <wp:inline>
            <wp:extent cx="5943600" cy="457200"/>
            <wp:effectExtent b="0" l="0" r="0" t="0"/>
            <wp:docPr descr="" title="" id="36" name="Picture"/>
            <a:graphic>
              <a:graphicData uri="http://schemas.openxmlformats.org/drawingml/2006/picture">
                <pic:pic>
                  <pic:nvPicPr>
                    <pic:cNvPr descr="C:\Users\rythomas\Documents\R_scripts\country_scorecards\country_scorecards\output\USAID%20Mozambique%20(MOZAMBIQUE)_files/figure-docx/gender%20text-1.png" id="37" name="Picture"/>
                    <pic:cNvPicPr>
                      <a:picLocks noChangeArrowheads="1" noChangeAspect="1"/>
                    </pic:cNvPicPr>
                  </pic:nvPicPr>
                  <pic:blipFill>
                    <a:blip r:embed="rId35"/>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39" name="Picture"/>
            <a:graphic>
              <a:graphicData uri="http://schemas.openxmlformats.org/drawingml/2006/picture">
                <pic:pic>
                  <pic:nvPicPr>
                    <pic:cNvPr descr="C:\Users\rythomas\Documents\R_scripts\country_scorecards\country_scorecards\output\USAID%20Mozambique%20(MOZAMBIQUE)_files/figure-docx/gender%20plot-1.png" id="40" name="Picture"/>
                    <pic:cNvPicPr>
                      <a:picLocks noChangeArrowheads="1" noChangeAspect="1"/>
                    </pic:cNvPicPr>
                  </pic:nvPicPr>
                  <pic:blipFill>
                    <a:blip r:embed="rId38"/>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In FY 2023, USAID Mozambique had 1 IMs/Activities that reported all four sex disaggregates needed to contribute to PT2. The total value of financing among all activities, regardless of disaggregates, was $1,770,000 (EG.3.2-27 total), with $1,770,000 that was disaggregated by females and males, and an additional 0 to</w:t>
      </w:r>
      <w:r>
        <w:t xml:space="preserve"> </w:t>
      </w:r>
      <w:r>
        <w:t xml:space="preserve">‘</w:t>
      </w:r>
      <w:r>
        <w:t xml:space="preserve">mixed</w:t>
      </w:r>
      <w:r>
        <w:t xml:space="preserve">’</w:t>
      </w:r>
      <w:r>
        <w:t xml:space="preserve"> </w:t>
      </w:r>
      <w:r>
        <w:t xml:space="preserve">firms that have both males and females, and NA that was not sex disaggregated.</w:t>
      </w:r>
    </w:p>
    <w:bookmarkEnd w:id="41"/>
    <w:bookmarkStart w:id="48" w:name="Xdb645ce030296128e4b354bbe2c12d7e12758e3"/>
    <w:p>
      <w:pPr>
        <w:pStyle w:val="Heading6"/>
      </w:pPr>
      <w:r>
        <w:t xml:space="preserve">Performance Target 3: Number of cultivated hectares under climate adaptation/climate risk management practices and technologies with USG assistance</w:t>
      </w:r>
    </w:p>
    <w:p>
      <w:pPr>
        <w:pStyle w:val="FirstParagraph"/>
      </w:pPr>
      <w:r>
        <w:drawing>
          <wp:inline>
            <wp:extent cx="5943600" cy="457200"/>
            <wp:effectExtent b="0" l="0" r="0" t="0"/>
            <wp:docPr descr="" title="" id="43" name="Picture"/>
            <a:graphic>
              <a:graphicData uri="http://schemas.openxmlformats.org/drawingml/2006/picture">
                <pic:pic>
                  <pic:nvPicPr>
                    <pic:cNvPr descr="C:\Users\rythomas\Documents\R_scripts\country_scorecards\country_scorecards\output\USAID%20Mozambique%20(MOZAMBIQUE)_files/figure-docx/hectares%20text-1.png" id="44" name="Picture"/>
                    <pic:cNvPicPr>
                      <a:picLocks noChangeArrowheads="1" noChangeAspect="1"/>
                    </pic:cNvPicPr>
                  </pic:nvPicPr>
                  <pic:blipFill>
                    <a:blip r:embed="rId42"/>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46" name="Picture"/>
            <a:graphic>
              <a:graphicData uri="http://schemas.openxmlformats.org/drawingml/2006/picture">
                <pic:pic>
                  <pic:nvPicPr>
                    <pic:cNvPr descr="C:\Users\rythomas\Documents\R_scripts\country_scorecards\country_scorecards\output\USAID%20Mozambique%20(MOZAMBIQUE)_files/figure-docx/hectares%20plot-1.png" id="47" name="Picture"/>
                    <pic:cNvPicPr>
                      <a:picLocks noChangeArrowheads="1" noChangeAspect="1"/>
                    </pic:cNvPicPr>
                  </pic:nvPicPr>
                  <pic:blipFill>
                    <a:blip r:embed="rId45"/>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In FY 2023, USAID Mozambique had 15 activities that aligned the indicator for hectares under improved management practices (EG.3.2-25). Of those activities, 2 reported on the</w:t>
      </w:r>
      <w:r>
        <w:t xml:space="preserve"> </w:t>
      </w:r>
      <w:r>
        <w:t xml:space="preserve">‘</w:t>
      </w:r>
      <w:r>
        <w:t xml:space="preserve">Climate adaptation/climate risk management</w:t>
      </w:r>
      <w:r>
        <w:t xml:space="preserve">’</w:t>
      </w:r>
      <w:r>
        <w:t xml:space="preserve"> </w:t>
      </w:r>
      <w:r>
        <w:t xml:space="preserve">disaggregate and contributed to the OU total for this PT.</w:t>
      </w:r>
    </w:p>
    <w:bookmarkEnd w:id="48"/>
    <w:bookmarkStart w:id="55" w:name="X40db5b06b6ea1088ca7f761123426bed5ed7240"/>
    <w:p>
      <w:pPr>
        <w:pStyle w:val="Heading6"/>
      </w:pPr>
      <w:r>
        <w:t xml:space="preserve">Performance Target 4: Value of private sector investment leveraged by the USG to support food security and nutrition</w:t>
      </w:r>
    </w:p>
    <w:p>
      <w:pPr>
        <w:pStyle w:val="FirstParagraph"/>
      </w:pPr>
      <w:r>
        <w:drawing>
          <wp:inline>
            <wp:extent cx="5943600" cy="457200"/>
            <wp:effectExtent b="0" l="0" r="0" t="0"/>
            <wp:docPr descr="" title="" id="50" name="Picture"/>
            <a:graphic>
              <a:graphicData uri="http://schemas.openxmlformats.org/drawingml/2006/picture">
                <pic:pic>
                  <pic:nvPicPr>
                    <pic:cNvPr descr="C:\Users\rythomas\Documents\R_scripts\country_scorecards\country_scorecards\output\USAID%20Mozambique%20(MOZAMBIQUE)_files/figure-docx/PSI%20text-1.png" id="51" name="Picture"/>
                    <pic:cNvPicPr>
                      <a:picLocks noChangeArrowheads="1" noChangeAspect="1"/>
                    </pic:cNvPicPr>
                  </pic:nvPicPr>
                  <pic:blipFill>
                    <a:blip r:embed="rId49"/>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566160"/>
            <wp:effectExtent b="0" l="0" r="0" t="0"/>
            <wp:docPr descr="" title="" id="53" name="Picture"/>
            <a:graphic>
              <a:graphicData uri="http://schemas.openxmlformats.org/drawingml/2006/picture">
                <pic:pic>
                  <pic:nvPicPr>
                    <pic:cNvPr descr="C:\Users\rythomas\Documents\R_scripts\country_scorecards\country_scorecards\output\USAID%20Mozambique%20(MOZAMBIQUE)_files/figure-docx/PSI%20details-1.png" id="54" name="Picture"/>
                    <pic:cNvPicPr>
                      <a:picLocks noChangeArrowheads="1" noChangeAspect="1"/>
                    </pic:cNvPicPr>
                  </pic:nvPicPr>
                  <pic:blipFill>
                    <a:blip r:embed="rId52"/>
                    <a:stretch>
                      <a:fillRect/>
                    </a:stretch>
                  </pic:blipFill>
                  <pic:spPr bwMode="auto">
                    <a:xfrm>
                      <a:off x="0" y="0"/>
                      <a:ext cx="5943600" cy="3566160"/>
                    </a:xfrm>
                    <a:prstGeom prst="rect">
                      <a:avLst/>
                    </a:prstGeom>
                    <a:noFill/>
                    <a:ln w="9525">
                      <a:noFill/>
                      <a:headEnd/>
                      <a:tailEnd/>
                    </a:ln>
                  </pic:spPr>
                </pic:pic>
              </a:graphicData>
            </a:graphic>
          </wp:inline>
        </w:drawing>
      </w:r>
    </w:p>
    <w:p>
      <w:pPr>
        <w:pStyle w:val="BodyText"/>
      </w:pPr>
      <w:r>
        <w:t xml:space="preserve">In FY 2023, USAID Mozambique had 10 activities that aligned the private sector investment indicator (EG.3.1-15/-14),</w:t>
      </w:r>
      <w:r>
        <w:t xml:space="preserve"> </w:t>
      </w:r>
      <w:r>
        <w:t xml:space="preserve">‘</w:t>
      </w:r>
      <w:r>
        <w:t xml:space="preserve">Value of new private sector investment leveraged by the USG to support food security and nutrition [IM-level], Value of new private sector investment leveraged by the USG to support food security and nutrition [IM-Level]</w:t>
      </w:r>
      <w:r>
        <w:t xml:space="preserve">’</w:t>
      </w:r>
      <w:r>
        <w:t xml:space="preserve">, and 8 contributed to the OU total in FY 2023.</w:t>
      </w:r>
    </w:p>
    <w:bookmarkEnd w:id="55"/>
    <w:bookmarkStart w:id="62" w:name="X2b568f0fc395b4d7e9228d91ed1edae00526d64"/>
    <w:p>
      <w:pPr>
        <w:pStyle w:val="Heading6"/>
      </w:pPr>
      <w:r>
        <w:t xml:space="preserve">Performance Target 5: Percent of women consuming a diet of minimum diversity (MDD-W)</w:t>
      </w:r>
    </w:p>
    <w:p>
      <w:pPr>
        <w:pStyle w:val="FirstParagraph"/>
      </w:pPr>
      <w:r>
        <w:drawing>
          <wp:inline>
            <wp:extent cx="5943600" cy="685800"/>
            <wp:effectExtent b="0" l="0" r="0" t="0"/>
            <wp:docPr descr="" title="" id="57" name="Picture"/>
            <a:graphic>
              <a:graphicData uri="http://schemas.openxmlformats.org/drawingml/2006/picture">
                <pic:pic>
                  <pic:nvPicPr>
                    <pic:cNvPr descr="C:\Users\rythomas\Documents\R_scripts\country_scorecards\country_scorecards\output\USAID%20Mozambique%20(MOZAMBIQUE)_files/figure-docx/mddw%20details-1.png" id="58" name="Picture"/>
                    <pic:cNvPicPr>
                      <a:picLocks noChangeArrowheads="1" noChangeAspect="1"/>
                    </pic:cNvPicPr>
                  </pic:nvPicPr>
                  <pic:blipFill>
                    <a:blip r:embed="rId56"/>
                    <a:stretch>
                      <a:fillRect/>
                    </a:stretch>
                  </pic:blipFill>
                  <pic:spPr bwMode="auto">
                    <a:xfrm>
                      <a:off x="0" y="0"/>
                      <a:ext cx="5943600" cy="6858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60" name="Picture"/>
            <a:graphic>
              <a:graphicData uri="http://schemas.openxmlformats.org/drawingml/2006/picture">
                <pic:pic>
                  <pic:nvPicPr>
                    <pic:cNvPr descr="C:\Users\rythomas\Documents\R_scripts\country_scorecards\country_scorecards\output\USAID%20Mozambique%20(MOZAMBIQUE)_files/figure-docx/mddw%20plot-1.png" id="61" name="Picture"/>
                    <pic:cNvPicPr>
                      <a:picLocks noChangeArrowheads="1" noChangeAspect="1"/>
                    </pic:cNvPicPr>
                  </pic:nvPicPr>
                  <pic:blipFill>
                    <a:blip r:embed="rId59"/>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PT5 is not available for USAID Mozambique.</w:t>
      </w:r>
    </w:p>
    <w:bookmarkEnd w:id="62"/>
    <w:bookmarkStart w:id="67" w:name="national-context"/>
    <w:p>
      <w:pPr>
        <w:pStyle w:val="Heading3"/>
      </w:pPr>
      <w:r>
        <w:t xml:space="preserve">National Context</w:t>
      </w:r>
    </w:p>
    <w:p>
      <w:pPr>
        <w:pStyle w:val="FirstParagraph"/>
      </w:pPr>
      <w:r>
        <w:t xml:space="preserve">National level data was collected from the</w:t>
      </w:r>
      <w:r>
        <w:t xml:space="preserve"> </w:t>
      </w:r>
      <w:hyperlink r:id="rId63">
        <w:r>
          <w:rPr>
            <w:rStyle w:val="Hyperlink"/>
          </w:rPr>
          <w:t xml:space="preserve">World Bank’s Open Data portal</w:t>
        </w:r>
      </w:hyperlink>
      <w:r>
        <w:t xml:space="preserve"> </w:t>
      </w:r>
      <w:r>
        <w:t xml:space="preserve">that measures key indicators at the national level.</w:t>
      </w:r>
    </w:p>
    <w:p>
      <w:pPr>
        <w:pStyle w:val="BodyText"/>
      </w:pPr>
      <w:r>
        <w:drawing>
          <wp:inline>
            <wp:extent cx="5943600" cy="3429000"/>
            <wp:effectExtent b="0" l="0" r="0" t="0"/>
            <wp:docPr descr="" title="" id="65" name="Picture"/>
            <a:graphic>
              <a:graphicData uri="http://schemas.openxmlformats.org/drawingml/2006/picture">
                <pic:pic>
                  <pic:nvPicPr>
                    <pic:cNvPr descr="C:\Users\rythomas\Documents\R_scripts\country_scorecards\country_scorecards\output\USAID%20Mozambique%20(MOZAMBIQUE)_files/figure-docx/context%20plot-1.png" id="66" name="Picture"/>
                    <pic:cNvPicPr>
                      <a:picLocks noChangeArrowheads="1" noChangeAspect="1"/>
                    </pic:cNvPicPr>
                  </pic:nvPicPr>
                  <pic:blipFill>
                    <a:blip r:embed="rId64"/>
                    <a:stretch>
                      <a:fillRect/>
                    </a:stretch>
                  </pic:blipFill>
                  <pic:spPr bwMode="auto">
                    <a:xfrm>
                      <a:off x="0" y="0"/>
                      <a:ext cx="5943600" cy="3429000"/>
                    </a:xfrm>
                    <a:prstGeom prst="rect">
                      <a:avLst/>
                    </a:prstGeom>
                    <a:noFill/>
                    <a:ln w="9525">
                      <a:noFill/>
                      <a:headEnd/>
                      <a:tailEnd/>
                    </a:ln>
                  </pic:spPr>
                </pic:pic>
              </a:graphicData>
            </a:graphic>
          </wp:inline>
        </w:drawing>
      </w:r>
    </w:p>
    <w:bookmarkEnd w:id="67"/>
    <w:bookmarkEnd w:id="68"/>
    <w:bookmarkStart w:id="72" w:name="agricultural-transformation-index-score"/>
    <w:p>
      <w:pPr>
        <w:pStyle w:val="Heading2"/>
      </w:pPr>
      <w:r>
        <w:t xml:space="preserve">Agricultural Transformation Index Score</w:t>
      </w:r>
    </w:p>
    <w:p>
      <w:pPr>
        <w:pStyle w:val="FirstParagraph"/>
      </w:pPr>
      <w:r>
        <w:t xml:space="preserve">The IFPRI Agricultural Transformation Index (ATI) Score is a high level indicator of the status of agricultural market systems in each country.</w:t>
      </w:r>
    </w:p>
    <w:p>
      <w:pPr>
        <w:pStyle w:val="BodyText"/>
      </w:pPr>
      <w:r>
        <w:drawing>
          <wp:inline>
            <wp:extent cx="5813658" cy="2772075"/>
            <wp:effectExtent b="0" l="0" r="0" t="0"/>
            <wp:docPr descr="" title="" id="70" name="Picture"/>
            <a:graphic>
              <a:graphicData uri="http://schemas.openxmlformats.org/drawingml/2006/picture">
                <pic:pic>
                  <pic:nvPicPr>
                    <pic:cNvPr descr="C:\Users\rythomas\Documents\R_scripts\country_scorecards\country_scorecards\output\USAID%20Mozambique%20(MOZAMBIQUE)_files/figure-docx/ati%20plot-1.png" id="71" name="Picture"/>
                    <pic:cNvPicPr>
                      <a:picLocks noChangeArrowheads="1" noChangeAspect="1"/>
                    </pic:cNvPicPr>
                  </pic:nvPicPr>
                  <pic:blipFill>
                    <a:blip r:embed="rId69"/>
                    <a:stretch>
                      <a:fillRect/>
                    </a:stretch>
                  </pic:blipFill>
                  <pic:spPr bwMode="auto">
                    <a:xfrm>
                      <a:off x="0" y="0"/>
                      <a:ext cx="5813658" cy="2772075"/>
                    </a:xfrm>
                    <a:prstGeom prst="rect">
                      <a:avLst/>
                    </a:prstGeom>
                    <a:noFill/>
                    <a:ln w="9525">
                      <a:noFill/>
                      <a:headEnd/>
                      <a:tailEnd/>
                    </a:ln>
                  </pic:spPr>
                </pic:pic>
              </a:graphicData>
            </a:graphic>
          </wp:inline>
        </w:drawing>
      </w:r>
    </w:p>
    <w:bookmarkEnd w:id="72"/>
    <w:bookmarkStart w:id="76" w:name="budget-trend"/>
    <w:p>
      <w:pPr>
        <w:pStyle w:val="Heading2"/>
      </w:pPr>
      <w:r>
        <w:t xml:space="preserve">Budget Trend</w:t>
      </w:r>
    </w:p>
    <w:p>
      <w:pPr>
        <w:pStyle w:val="FirstParagraph"/>
      </w:pPr>
      <w:r>
        <w:t xml:space="preserve">At the Operating Unit level, the Performance Targets are based in part on the FY 2024 budget request. The budget chart below includes EG.3 money only.</w:t>
      </w:r>
    </w:p>
    <w:p>
      <w:pPr>
        <w:pStyle w:val="BodyText"/>
      </w:pPr>
      <w:r>
        <w:drawing>
          <wp:inline>
            <wp:extent cx="5943600" cy="3200400"/>
            <wp:effectExtent b="0" l="0" r="0" t="0"/>
            <wp:docPr descr="" title="" id="74" name="Picture"/>
            <a:graphic>
              <a:graphicData uri="http://schemas.openxmlformats.org/drawingml/2006/picture">
                <pic:pic>
                  <pic:nvPicPr>
                    <pic:cNvPr descr="C:\Users\rythomas\Documents\R_scripts\country_scorecards\country_scorecards\output\USAID%20Mozambique%20(MOZAMBIQUE)_files/figure-docx/budget%20plot-1.png" id="75" name="Picture"/>
                    <pic:cNvPicPr>
                      <a:picLocks noChangeArrowheads="1" noChangeAspect="1"/>
                    </pic:cNvPicPr>
                  </pic:nvPicPr>
                  <pic:blipFill>
                    <a:blip r:embed="rId73"/>
                    <a:stretch>
                      <a:fillRect/>
                    </a:stretch>
                  </pic:blipFill>
                  <pic:spPr bwMode="auto">
                    <a:xfrm>
                      <a:off x="0" y="0"/>
                      <a:ext cx="5943600" cy="3200400"/>
                    </a:xfrm>
                    <a:prstGeom prst="rect">
                      <a:avLst/>
                    </a:prstGeom>
                    <a:noFill/>
                    <a:ln w="9525">
                      <a:noFill/>
                      <a:headEnd/>
                      <a:tailEnd/>
                    </a:ln>
                  </pic:spPr>
                </pic:pic>
              </a:graphicData>
            </a:graphic>
          </wp:inline>
        </w:drawing>
      </w:r>
    </w:p>
    <w:bookmarkEnd w:id="76"/>
    <w:bookmarkStart w:id="77" w:name="active-portfolio"/>
    <w:p>
      <w:pPr>
        <w:pStyle w:val="Heading2"/>
      </w:pPr>
      <w:r>
        <w:t xml:space="preserve">Active Portfolio</w:t>
      </w:r>
    </w:p>
    <w:p>
      <w:pPr>
        <w:pStyle w:val="FirstParagraph"/>
      </w:pPr>
      <w:r>
        <w:t xml:space="preserve">The following activities are considered</w:t>
      </w:r>
      <w:r>
        <w:t xml:space="preserve"> </w:t>
      </w:r>
      <w:r>
        <w:t xml:space="preserve">“</w:t>
      </w:r>
      <w:r>
        <w:t xml:space="preserve">active</w:t>
      </w:r>
      <w:r>
        <w:t xml:space="preserve">”</w:t>
      </w:r>
      <w:r>
        <w:t xml:space="preserve"> </w:t>
      </w:r>
      <w:r>
        <w:t xml:space="preserve">based on their reporting in FY 2023 and expected FY 2024 reporting. The Analytics, Data and Learning Division defines an</w:t>
      </w:r>
      <w:r>
        <w:t xml:space="preserve"> </w:t>
      </w:r>
      <w:r>
        <w:t xml:space="preserve">“</w:t>
      </w:r>
      <w:r>
        <w:t xml:space="preserve">active</w:t>
      </w:r>
      <w:r>
        <w:t xml:space="preserve">”</w:t>
      </w:r>
      <w:r>
        <w:t xml:space="preserve"> </w:t>
      </w:r>
      <w:r>
        <w:t xml:space="preserve">activity as one that reported targets, actuals, or deviation narratives for the current year (FY 2023), or the next out year targets (i.e. FY 2024).</w:t>
      </w:r>
    </w:p>
    <w:bookmarkEnd w:id="77"/>
    <w:bookmarkStart w:id="82" w:name="X5c5d246148a297ff9a3792eabd1fa065d738198"/>
    <w:p>
      <w:pPr>
        <w:pStyle w:val="Heading2"/>
      </w:pPr>
      <w:r>
        <w:t xml:space="preserve">Top Activities (Award Disbursements and Results)</w:t>
      </w:r>
    </w:p>
    <w:p>
      <w:pPr>
        <w:pStyle w:val="FirstParagraph"/>
      </w:pPr>
      <w:r>
        <w:t xml:space="preserve">This section highlights the 5 activities (out of the total 15 in the USAID Mozambique (MOZAMBIQUE) portfolio) that have the highest level of FY 2023 annual disbursements and highest reported values for the relevant indicators.</w:t>
      </w:r>
      <w:r>
        <w:t xml:space="preserve"> </w:t>
      </w:r>
      <w:r>
        <w:t xml:space="preserve">The first table below shows activities with the highest total transaction amounts. The columns to the right indicate if these activities are reporting on relevant PT indicators.</w:t>
      </w:r>
    </w:p>
    <w:tbl>
      <w:tblPr>
        <w:tblStyle w:val="Table"/>
        <w:tblW w:type="pct" w:w="5000"/>
        <w:tblLook w:firstRow="1" w:lastRow="0" w:firstColumn="0" w:lastColumn="0" w:noHBand="0" w:noVBand="0" w:val="0020"/>
        <w:jc w:val="start"/>
      </w:tblPr>
      <w:tblGrid>
        <w:gridCol w:w="732"/>
        <w:gridCol w:w="640"/>
        <w:gridCol w:w="4944"/>
        <w:gridCol w:w="869"/>
        <w:gridCol w:w="183"/>
        <w:gridCol w:w="183"/>
        <w:gridCol w:w="183"/>
        <w:gridCol w:w="183"/>
      </w:tblGrid>
      <w:tr>
        <w:trPr>
          <w:tblHeader w:val="true"/>
        </w:trPr>
        <w:tc>
          <w:tcPr/>
          <w:p>
            <w:pPr>
              <w:pStyle w:val="Compact"/>
              <w:jc w:val="left"/>
            </w:pPr>
            <w:r>
              <w:t xml:space="preserve">Award Number</w:t>
            </w:r>
          </w:p>
        </w:tc>
        <w:tc>
          <w:tcPr/>
          <w:p>
            <w:pPr>
              <w:pStyle w:val="Compact"/>
              <w:jc w:val="right"/>
            </w:pPr>
            <w:r>
              <w:t xml:space="preserve">Activity Code</w:t>
            </w:r>
          </w:p>
        </w:tc>
        <w:tc>
          <w:tcPr/>
          <w:p>
            <w:pPr>
              <w:pStyle w:val="Compact"/>
              <w:jc w:val="left"/>
            </w:pPr>
            <w:r>
              <w:t xml:space="preserve">Activity Name</w:t>
            </w:r>
          </w:p>
        </w:tc>
        <w:tc>
          <w:tcPr/>
          <w:p>
            <w:pPr>
              <w:pStyle w:val="Compact"/>
              <w:jc w:val="left"/>
            </w:pPr>
            <w:r>
              <w:t xml:space="preserve">FY23 Disbursements</w:t>
            </w:r>
          </w:p>
        </w:tc>
        <w:tc>
          <w:tcPr/>
          <w:p>
            <w:pPr>
              <w:pStyle w:val="Compact"/>
              <w:jc w:val="left"/>
            </w:pPr>
            <w:r>
              <w:t xml:space="preserve">PT1</w:t>
            </w:r>
          </w:p>
        </w:tc>
        <w:tc>
          <w:tcPr/>
          <w:p>
            <w:pPr>
              <w:pStyle w:val="Compact"/>
              <w:jc w:val="left"/>
            </w:pPr>
            <w:r>
              <w:t xml:space="preserve">PT2</w:t>
            </w:r>
          </w:p>
        </w:tc>
        <w:tc>
          <w:tcPr/>
          <w:p>
            <w:pPr>
              <w:pStyle w:val="Compact"/>
              <w:jc w:val="left"/>
            </w:pPr>
            <w:r>
              <w:t xml:space="preserve">PT3</w:t>
            </w:r>
          </w:p>
        </w:tc>
        <w:tc>
          <w:tcPr/>
          <w:p>
            <w:pPr>
              <w:pStyle w:val="Compact"/>
              <w:jc w:val="left"/>
            </w:pPr>
            <w:r>
              <w:t xml:space="preserve">PT4</w:t>
            </w:r>
          </w:p>
        </w:tc>
      </w:tr>
      <w:tr>
        <w:tc>
          <w:tcPr/>
          <w:p>
            <w:pPr>
              <w:pStyle w:val="Compact"/>
              <w:jc w:val="left"/>
            </w:pPr>
            <w:r>
              <w:t xml:space="preserve">72065622CA00006</w:t>
            </w:r>
          </w:p>
        </w:tc>
        <w:tc>
          <w:tcPr/>
          <w:p>
            <w:pPr>
              <w:pStyle w:val="Compact"/>
              <w:jc w:val="right"/>
            </w:pPr>
            <w:r>
              <w:t xml:space="preserve">5447</w:t>
            </w:r>
          </w:p>
        </w:tc>
        <w:tc>
          <w:tcPr/>
          <w:p>
            <w:pPr>
              <w:pStyle w:val="Compact"/>
              <w:jc w:val="left"/>
            </w:pPr>
            <w:r>
              <w:t xml:space="preserve">FEED THE FUTURE MOZAMBIQUE PROMOTING INNOVATIVE AND RESILIENT AGRICULTURE MARKET SYSTEMS (PREMIER) ACTIVITY</w:t>
            </w:r>
          </w:p>
        </w:tc>
        <w:tc>
          <w:tcPr/>
          <w:p>
            <w:pPr>
              <w:pStyle w:val="Compact"/>
              <w:jc w:val="left"/>
            </w:pPr>
            <w:r>
              <w:t xml:space="preserve">$3,907,859</w:t>
            </w:r>
          </w:p>
        </w:tc>
        <w:tc>
          <w:tcPr/>
          <w:p>
            <w:pPr>
              <w:pStyle w:val="Compact"/>
              <w:jc w:val="left"/>
            </w:pPr>
            <w:r>
              <w:t xml:space="preserve">X</w:t>
            </w:r>
          </w:p>
        </w:tc>
        <w:tc>
          <w:tcPr/>
          <w:p>
            <w:pPr>
              <w:pStyle w:val="Compact"/>
              <w:jc w:val="left"/>
            </w:pPr>
            <w:r>
              <w:t xml:space="preserve">-</w:t>
            </w:r>
          </w:p>
        </w:tc>
        <w:tc>
          <w:tcPr/>
          <w:p>
            <w:pPr>
              <w:pStyle w:val="Compact"/>
              <w:jc w:val="left"/>
            </w:pPr>
            <w:r>
              <w:t xml:space="preserve">-</w:t>
            </w:r>
          </w:p>
        </w:tc>
        <w:tc>
          <w:tcPr/>
          <w:p>
            <w:pPr>
              <w:pStyle w:val="Compact"/>
              <w:jc w:val="left"/>
            </w:pPr>
            <w:r>
              <w:t xml:space="preserve">X</w:t>
            </w:r>
          </w:p>
        </w:tc>
      </w:tr>
      <w:tr>
        <w:tc>
          <w:tcPr/>
          <w:p>
            <w:pPr>
              <w:pStyle w:val="Compact"/>
              <w:jc w:val="left"/>
            </w:pPr>
            <w:r>
              <w:t xml:space="preserve">72065622CA00005</w:t>
            </w:r>
          </w:p>
        </w:tc>
        <w:tc>
          <w:tcPr/>
          <w:p>
            <w:pPr>
              <w:pStyle w:val="Compact"/>
              <w:jc w:val="right"/>
            </w:pPr>
            <w:r>
              <w:t xml:space="preserve">5446</w:t>
            </w:r>
          </w:p>
        </w:tc>
        <w:tc>
          <w:tcPr/>
          <w:p>
            <w:pPr>
              <w:pStyle w:val="Compact"/>
              <w:jc w:val="left"/>
            </w:pPr>
            <w:r>
              <w:t xml:space="preserve">FEED THE FUTURE MOZAMBIQUE RESILIÊNCIA INTEGRADA na NUTRIÇÃO e AGRICULTURA (RESINA) ACTIVITY</w:t>
            </w:r>
          </w:p>
        </w:tc>
        <w:tc>
          <w:tcPr/>
          <w:p>
            <w:pPr>
              <w:pStyle w:val="Compact"/>
              <w:jc w:val="left"/>
            </w:pPr>
            <w:r>
              <w:t xml:space="preserve">$2,842,104</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72065622CA00010</w:t>
            </w:r>
          </w:p>
        </w:tc>
        <w:tc>
          <w:tcPr/>
          <w:p>
            <w:pPr>
              <w:pStyle w:val="Compact"/>
              <w:jc w:val="right"/>
            </w:pPr>
            <w:r>
              <w:t xml:space="preserve">5842</w:t>
            </w:r>
          </w:p>
        </w:tc>
        <w:tc>
          <w:tcPr/>
          <w:p>
            <w:pPr>
              <w:pStyle w:val="Compact"/>
              <w:jc w:val="left"/>
            </w:pPr>
            <w:r>
              <w:t xml:space="preserve">FEED THE FUTURE MOZAMBIQUE RESILIENT COASTAL COMMUNITIES (RCC) ACTIVITY</w:t>
            </w:r>
          </w:p>
        </w:tc>
        <w:tc>
          <w:tcPr/>
          <w:p>
            <w:pPr>
              <w:pStyle w:val="Compact"/>
              <w:jc w:val="left"/>
            </w:pPr>
            <w:r>
              <w:t xml:space="preserve">$1,850,000</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72065621IO00001</w:t>
            </w:r>
          </w:p>
        </w:tc>
        <w:tc>
          <w:tcPr/>
          <w:p>
            <w:pPr>
              <w:pStyle w:val="Compact"/>
              <w:jc w:val="right"/>
            </w:pPr>
            <w:r>
              <w:t xml:space="preserve">5831</w:t>
            </w:r>
          </w:p>
        </w:tc>
        <w:tc>
          <w:tcPr/>
          <w:p>
            <w:pPr>
              <w:pStyle w:val="Compact"/>
              <w:jc w:val="left"/>
            </w:pPr>
            <w:r>
              <w:t xml:space="preserve">Building Back Better and Resilience</w:t>
            </w:r>
          </w:p>
        </w:tc>
        <w:tc>
          <w:tcPr/>
          <w:p>
            <w:pPr>
              <w:pStyle w:val="Compact"/>
              <w:jc w:val="left"/>
            </w:pPr>
            <w:r>
              <w:t xml:space="preserve">$1,308,317</w:t>
            </w:r>
          </w:p>
        </w:tc>
        <w:tc>
          <w:tcPr/>
          <w:p>
            <w:pPr>
              <w:pStyle w:val="Compact"/>
              <w:jc w:val="left"/>
            </w:pPr>
            <w:r>
              <w:t xml:space="preserve">-</w:t>
            </w:r>
          </w:p>
        </w:tc>
        <w:tc>
          <w:tcPr/>
          <w:p>
            <w:pPr>
              <w:pStyle w:val="Compact"/>
              <w:jc w:val="left"/>
            </w:pPr>
            <w:r>
              <w:t xml:space="preserve">-</w:t>
            </w:r>
          </w:p>
        </w:tc>
        <w:tc>
          <w:tcPr/>
          <w:p>
            <w:pPr>
              <w:pStyle w:val="Compact"/>
              <w:jc w:val="left"/>
            </w:pPr>
            <w:r>
              <w:t xml:space="preserve">X</w:t>
            </w:r>
          </w:p>
        </w:tc>
        <w:tc>
          <w:tcPr/>
          <w:p>
            <w:pPr>
              <w:pStyle w:val="Compact"/>
              <w:jc w:val="left"/>
            </w:pPr>
            <w:r>
              <w:t xml:space="preserve">-</w:t>
            </w:r>
          </w:p>
        </w:tc>
      </w:tr>
    </w:tbl>
    <w:p>
      <w:pPr>
        <w:pStyle w:val="BodyText"/>
      </w:pPr>
      <w:r>
        <w:t xml:space="preserve">The next table (below) shows the activities that reported the highest values for the relevant PT indicators. The total disbursements are included, if available.</w:t>
      </w:r>
    </w:p>
    <w:tbl>
      <w:tblPr>
        <w:tblStyle w:val="Table"/>
        <w:tblW w:type="pct" w:w="5000"/>
        <w:tblLook w:firstRow="1" w:lastRow="0" w:firstColumn="0" w:lastColumn="0" w:noHBand="0" w:noVBand="0" w:val="0020"/>
        <w:jc w:val="start"/>
      </w:tblPr>
      <w:tblGrid>
        <w:gridCol w:w="703"/>
        <w:gridCol w:w="518"/>
        <w:gridCol w:w="3997"/>
        <w:gridCol w:w="740"/>
        <w:gridCol w:w="407"/>
        <w:gridCol w:w="1147"/>
        <w:gridCol w:w="407"/>
      </w:tblGrid>
      <w:tr>
        <w:trPr>
          <w:tblHeader w:val="true"/>
        </w:trPr>
        <w:tc>
          <w:tcPr/>
          <w:p>
            <w:pPr>
              <w:pStyle w:val="Compact"/>
              <w:jc w:val="left"/>
            </w:pPr>
            <w:r>
              <w:t xml:space="preserve">Award Number</w:t>
            </w:r>
          </w:p>
        </w:tc>
        <w:tc>
          <w:tcPr/>
          <w:p>
            <w:pPr>
              <w:pStyle w:val="Compact"/>
              <w:jc w:val="right"/>
            </w:pPr>
            <w:r>
              <w:t xml:space="preserve">Activity Code</w:t>
            </w:r>
          </w:p>
        </w:tc>
        <w:tc>
          <w:tcPr/>
          <w:p>
            <w:pPr>
              <w:pStyle w:val="Compact"/>
              <w:jc w:val="left"/>
            </w:pPr>
            <w:r>
              <w:t xml:space="preserve">Activity Name</w:t>
            </w:r>
          </w:p>
        </w:tc>
        <w:tc>
          <w:tcPr/>
          <w:p>
            <w:pPr>
              <w:pStyle w:val="Compact"/>
              <w:jc w:val="left"/>
            </w:pPr>
            <w:r>
              <w:t xml:space="preserve">Total Disbursements</w:t>
            </w:r>
          </w:p>
        </w:tc>
        <w:tc>
          <w:tcPr/>
          <w:p>
            <w:pPr>
              <w:pStyle w:val="Compact"/>
              <w:jc w:val="left"/>
            </w:pPr>
            <w:r>
              <w:t xml:space="preserve">PT1: Sales</w:t>
            </w:r>
          </w:p>
        </w:tc>
        <w:tc>
          <w:tcPr/>
          <w:p>
            <w:pPr>
              <w:pStyle w:val="Compact"/>
              <w:jc w:val="left"/>
            </w:pPr>
            <w:r>
              <w:t xml:space="preserve">PT3: Climate adaptive hectares</w:t>
            </w:r>
          </w:p>
        </w:tc>
        <w:tc>
          <w:tcPr/>
          <w:p>
            <w:pPr>
              <w:pStyle w:val="Compact"/>
              <w:jc w:val="left"/>
            </w:pPr>
            <w:r>
              <w:t xml:space="preserve">PT4: PSI</w:t>
            </w:r>
          </w:p>
        </w:tc>
      </w:tr>
      <w:tr>
        <w:tc>
          <w:tcPr/>
          <w:p>
            <w:pPr>
              <w:pStyle w:val="Compact"/>
              <w:jc w:val="left"/>
            </w:pPr>
            <w:r>
              <w:t xml:space="preserve">72065621CA00002</w:t>
            </w:r>
          </w:p>
        </w:tc>
        <w:tc>
          <w:tcPr/>
          <w:p>
            <w:pPr>
              <w:pStyle w:val="Compact"/>
              <w:jc w:val="right"/>
            </w:pPr>
            <w:r>
              <w:t xml:space="preserve">5116</w:t>
            </w:r>
          </w:p>
        </w:tc>
        <w:tc>
          <w:tcPr/>
          <w:p>
            <w:pPr>
              <w:pStyle w:val="Compact"/>
              <w:jc w:val="left"/>
            </w:pPr>
            <w:r>
              <w:t xml:space="preserve">USAID RECOVER CABO DELGADO</w:t>
            </w:r>
          </w:p>
        </w:tc>
        <w:tc>
          <w:tcPr/>
          <w:p>
            <w:pPr>
              <w:pStyle w:val="Compact"/>
              <w:jc w:val="left"/>
            </w:pPr>
            <w:r>
              <w:t xml:space="preserve">$301,454</w:t>
            </w:r>
          </w:p>
        </w:tc>
        <w:tc>
          <w:tcPr/>
          <w:p>
            <w:pPr>
              <w:pStyle w:val="Compact"/>
              <w:jc w:val="left"/>
            </w:pPr>
            <w:r>
              <w:t xml:space="preserve">$160,003</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72065622CA00006</w:t>
            </w:r>
          </w:p>
        </w:tc>
        <w:tc>
          <w:tcPr/>
          <w:p>
            <w:pPr>
              <w:pStyle w:val="Compact"/>
              <w:jc w:val="right"/>
            </w:pPr>
            <w:r>
              <w:t xml:space="preserve">5447</w:t>
            </w:r>
          </w:p>
        </w:tc>
        <w:tc>
          <w:tcPr/>
          <w:p>
            <w:pPr>
              <w:pStyle w:val="Compact"/>
              <w:jc w:val="left"/>
            </w:pPr>
            <w:r>
              <w:t xml:space="preserve">FEED THE FUTURE MOZAMBIQUE PROMOTING INNOVATIVE AND RESILIENT AGRICULTURE MARKET SYSTEMS (PREMIER) ACTIVITY</w:t>
            </w:r>
          </w:p>
        </w:tc>
        <w:tc>
          <w:tcPr/>
          <w:p>
            <w:pPr>
              <w:pStyle w:val="Compact"/>
              <w:jc w:val="left"/>
            </w:pPr>
            <w:r>
              <w:t xml:space="preserve">$3,907,859</w:t>
            </w:r>
          </w:p>
        </w:tc>
        <w:tc>
          <w:tcPr/>
          <w:p>
            <w:pPr>
              <w:pStyle w:val="Compact"/>
              <w:jc w:val="left"/>
            </w:pPr>
            <w:r>
              <w:t xml:space="preserve">$54,674</w:t>
            </w:r>
          </w:p>
        </w:tc>
        <w:tc>
          <w:tcPr/>
          <w:p>
            <w:pPr>
              <w:pStyle w:val="Compact"/>
              <w:jc w:val="left"/>
            </w:pPr>
            <w:r>
              <w:t xml:space="preserve">NA</w:t>
            </w:r>
          </w:p>
        </w:tc>
        <w:tc>
          <w:tcPr/>
          <w:p>
            <w:pPr>
              <w:pStyle w:val="Compact"/>
              <w:jc w:val="left"/>
            </w:pPr>
            <w:r>
              <w:t xml:space="preserve">$84,246</w:t>
            </w:r>
          </w:p>
        </w:tc>
      </w:tr>
      <w:tr>
        <w:tc>
          <w:tcPr/>
          <w:p>
            <w:pPr>
              <w:pStyle w:val="Compact"/>
              <w:jc w:val="left"/>
            </w:pPr>
            <w:r>
              <w:t xml:space="preserve">72065621IO00001</w:t>
            </w:r>
          </w:p>
        </w:tc>
        <w:tc>
          <w:tcPr/>
          <w:p>
            <w:pPr>
              <w:pStyle w:val="Compact"/>
              <w:jc w:val="right"/>
            </w:pPr>
            <w:r>
              <w:t xml:space="preserve">5831</w:t>
            </w:r>
          </w:p>
        </w:tc>
        <w:tc>
          <w:tcPr/>
          <w:p>
            <w:pPr>
              <w:pStyle w:val="Compact"/>
              <w:jc w:val="left"/>
            </w:pPr>
            <w:r>
              <w:t xml:space="preserve">Building Back Better and Resilience</w:t>
            </w:r>
          </w:p>
        </w:tc>
        <w:tc>
          <w:tcPr/>
          <w:p>
            <w:pPr>
              <w:pStyle w:val="Compact"/>
              <w:jc w:val="left"/>
            </w:pPr>
            <w:r>
              <w:t xml:space="preserve">$1,308,317</w:t>
            </w:r>
          </w:p>
        </w:tc>
        <w:tc>
          <w:tcPr/>
          <w:p>
            <w:pPr>
              <w:pStyle w:val="Compact"/>
              <w:jc w:val="left"/>
            </w:pPr>
            <w:r>
              <w:t xml:space="preserve">NA</w:t>
            </w:r>
          </w:p>
        </w:tc>
        <w:tc>
          <w:tcPr/>
          <w:p>
            <w:pPr>
              <w:pStyle w:val="Compact"/>
              <w:jc w:val="left"/>
            </w:pPr>
            <w:r>
              <w:t xml:space="preserve">2 928</w:t>
            </w:r>
          </w:p>
        </w:tc>
        <w:tc>
          <w:tcPr/>
          <w:p>
            <w:pPr>
              <w:pStyle w:val="Compact"/>
              <w:jc w:val="left"/>
            </w:pPr>
            <w:r>
              <w:t xml:space="preserve">NA</w:t>
            </w:r>
          </w:p>
        </w:tc>
      </w:tr>
      <w:tr>
        <w:tc>
          <w:tcPr/>
          <w:p>
            <w:pPr>
              <w:pStyle w:val="Compact"/>
              <w:jc w:val="left"/>
            </w:pPr>
            <w:r>
              <w:t xml:space="preserve">!! Not reported !!</w:t>
            </w:r>
          </w:p>
        </w:tc>
        <w:tc>
          <w:tcPr/>
          <w:p>
            <w:pPr>
              <w:pStyle w:val="Compact"/>
              <w:jc w:val="right"/>
            </w:pPr>
            <w:r>
              <w:t xml:space="preserve">5475</w:t>
            </w:r>
          </w:p>
        </w:tc>
        <w:tc>
          <w:tcPr/>
          <w:p>
            <w:pPr>
              <w:pStyle w:val="Compact"/>
              <w:jc w:val="left"/>
            </w:pPr>
            <w:r>
              <w:t xml:space="preserve">Community Resilience and Youth Empowerment in Cabo Delgado</w:t>
            </w:r>
          </w:p>
        </w:tc>
        <w:tc>
          <w:tcPr/>
          <w:p>
            <w:pPr>
              <w:pStyle w:val="Compact"/>
              <w:jc w:val="left"/>
            </w:pPr>
            <w:r>
              <w:t xml:space="preserve">NA</w:t>
            </w:r>
          </w:p>
        </w:tc>
        <w:tc>
          <w:tcPr/>
          <w:p>
            <w:pPr>
              <w:pStyle w:val="Compact"/>
              <w:jc w:val="left"/>
            </w:pPr>
            <w:r>
              <w:t xml:space="preserve">NA</w:t>
            </w:r>
          </w:p>
        </w:tc>
        <w:tc>
          <w:tcPr/>
          <w:p>
            <w:pPr>
              <w:pStyle w:val="Compact"/>
              <w:jc w:val="left"/>
            </w:pPr>
            <w:r>
              <w:t xml:space="preserve">40</w:t>
            </w:r>
          </w:p>
        </w:tc>
        <w:tc>
          <w:tcPr/>
          <w:p>
            <w:pPr>
              <w:pStyle w:val="Compact"/>
              <w:jc w:val="left"/>
            </w:pPr>
            <w:r>
              <w:t xml:space="preserve">NA</w:t>
            </w:r>
          </w:p>
        </w:tc>
      </w:tr>
      <w:tr>
        <w:tc>
          <w:tcPr/>
          <w:p>
            <w:pPr>
              <w:pStyle w:val="Compact"/>
              <w:jc w:val="left"/>
            </w:pPr>
            <w:r>
              <w:t xml:space="preserve">!! Not reported !!</w:t>
            </w:r>
          </w:p>
        </w:tc>
        <w:tc>
          <w:tcPr/>
          <w:p>
            <w:pPr>
              <w:pStyle w:val="Compact"/>
              <w:jc w:val="right"/>
            </w:pPr>
            <w:r>
              <w:t xml:space="preserve">1871</w:t>
            </w:r>
          </w:p>
        </w:tc>
        <w:tc>
          <w:tcPr/>
          <w:p>
            <w:pPr>
              <w:pStyle w:val="Compact"/>
              <w:jc w:val="left"/>
            </w:pPr>
            <w:r>
              <w:t xml:space="preserve">50233: DCA – Loan Portfolio Guarantee</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$1,773,181</w:t>
            </w:r>
          </w:p>
        </w:tc>
      </w:tr>
    </w:tbl>
    <w:p>
      <w:pPr>
        <w:pStyle w:val="BodyText"/>
      </w:pPr>
      <w:r>
        <w:drawing>
          <wp:inline>
            <wp:extent cx="5943600" cy="8229600"/>
            <wp:effectExtent b="0" l="0" r="0" t="0"/>
            <wp:docPr descr="" title="" id="79" name="Picture"/>
            <a:graphic>
              <a:graphicData uri="http://schemas.openxmlformats.org/drawingml/2006/picture">
                <pic:pic>
                  <pic:nvPicPr>
                    <pic:cNvPr descr="maps/MOZ.png" id="80" name="Picture"/>
                    <pic:cNvPicPr>
                      <a:picLocks noChangeArrowheads="1" noChangeAspect="1"/>
                    </pic:cNvPicPr>
                  </pic:nvPicPr>
                  <pic:blipFill>
                    <a:blip r:embed="rId78"/>
                    <a:stretch>
                      <a:fillRect/>
                    </a:stretch>
                  </pic:blipFill>
                  <pic:spPr bwMode="auto">
                    <a:xfrm>
                      <a:off x="0" y="0"/>
                      <a:ext cx="5943600" cy="8229600"/>
                    </a:xfrm>
                    <a:prstGeom prst="rect">
                      <a:avLst/>
                    </a:prstGeom>
                    <a:noFill/>
                    <a:ln w="9525">
                      <a:noFill/>
                      <a:headEnd/>
                      <a:tailEnd/>
                    </a:ln>
                  </pic:spPr>
                </pic:pic>
              </a:graphicData>
            </a:graphic>
          </wp:inline>
        </w:drawing>
      </w:r>
    </w:p>
    <w:bookmarkStart w:id="81" w:name="X6bf35fcf399504971a88dce13699a136f09fe4a"/>
    <w:p>
      <w:pPr>
        <w:pStyle w:val="Heading3"/>
      </w:pPr>
      <w:r>
        <w:t xml:space="preserve">Appendix 1: Response to</w:t>
      </w:r>
      <w:r>
        <w:t xml:space="preserve"> </w:t>
      </w:r>
      <w:r>
        <w:t xml:space="preserve">“</w:t>
      </w:r>
      <w:r>
        <w:t xml:space="preserve">Not on track</w:t>
      </w:r>
      <w:r>
        <w:t xml:space="preserve">”</w:t>
      </w:r>
      <w:r>
        <w:t xml:space="preserve"> </w:t>
      </w:r>
      <w:r>
        <w:t xml:space="preserve">Performance Targets</w:t>
      </w:r>
    </w:p>
    <w:p>
      <w:pPr>
        <w:pStyle w:val="FirstParagraph"/>
      </w:pPr>
      <w:r>
        <w:t xml:space="preserve">This section provides space for USAID Mozambique to provide an explanation of why the following PTs are not on track and how you could adjust to be on track in the coming year(s). To help in your response(s), the relevant section of the FTF/GFS Key Issue Narrative (KIN) is provided, as it</w:t>
      </w:r>
      <w:r>
        <w:t xml:space="preserve"> </w:t>
      </w:r>
      <w:r>
        <w:rPr>
          <w:iCs/>
          <w:i/>
        </w:rPr>
        <w:t xml:space="preserve">may be</w:t>
      </w:r>
      <w:r>
        <w:t xml:space="preserve"> </w:t>
      </w:r>
      <w:r>
        <w:t xml:space="preserve">useful in drafting a responses. Note that the KIN is addressing the sum of the out year targets (FY 2023) set by the USAID Mozambique activities that are reporting on each PT. The FY 2023 out year targets were set prior to the establishment of the FY 2030 Performance Targets, so the below explanations from the KIN may not apply to the Performance Target deviation.</w:t>
      </w:r>
    </w:p>
    <w:p>
      <w:pPr>
        <w:numPr>
          <w:ilvl w:val="0"/>
          <w:numId w:val="1001"/>
        </w:numPr>
      </w:pPr>
      <w:r>
        <w:t xml:space="preserve">In Section 4 of the FTF KIN, your OU discusses FY24 and FY25 targets, while these Scorecards are addressing progress against a trajectory from historical reporting to your OU’s FY30 target. Also, the FY 2023 out year targets were set prior to the establishment of the FY 2030 Performance Targets. Therefore, the below explanations from the KIN may not apply to these FY30 Performance Target deviations.</w:t>
      </w:r>
    </w:p>
    <w:p>
      <w:pPr>
        <w:numPr>
          <w:ilvl w:val="0"/>
          <w:numId w:val="1001"/>
        </w:numPr>
      </w:pPr>
      <w:r>
        <w:t xml:space="preserve">These responses will be used to compile a Congressional report, the GFSS Implementation Report, to discuss progress against the FTF FY 2030 Performance Targets, as mandated by the GAO.</w:t>
      </w:r>
    </w:p>
    <w:p>
      <w:pPr>
        <w:numPr>
          <w:ilvl w:val="0"/>
          <w:numId w:val="1001"/>
        </w:numPr>
      </w:pPr>
      <w:r>
        <w:t xml:space="preserve">Only PTs that are</w:t>
      </w:r>
      <w:r>
        <w:t xml:space="preserve"> </w:t>
      </w:r>
      <w:r>
        <w:t xml:space="preserve">‘</w:t>
      </w:r>
      <w:r>
        <w:t xml:space="preserve">Not on Track</w:t>
      </w:r>
      <w:r>
        <w:t xml:space="preserve">’</w:t>
      </w:r>
      <w:r>
        <w:t xml:space="preserve"> </w:t>
      </w:r>
      <w:r>
        <w:t xml:space="preserve">require review and explanation from the OU.</w:t>
      </w:r>
    </w:p>
    <w:p>
      <w:pPr>
        <w:pStyle w:val="FirstParagraph"/>
      </w:pPr>
      <w:r>
        <w:t xml:space="preserve">Include the following two components in each response:</w:t>
      </w:r>
    </w:p>
    <w:p>
      <w:pPr>
        <w:numPr>
          <w:ilvl w:val="0"/>
          <w:numId w:val="1002"/>
        </w:numPr>
      </w:pPr>
      <w:r>
        <w:t xml:space="preserve">An explanation of why this target is not on track. Explanations may include that the OU/Mission was not aware of the target prior to planning activities. (Limit 100 words)</w:t>
      </w:r>
    </w:p>
    <w:p>
      <w:pPr>
        <w:numPr>
          <w:ilvl w:val="0"/>
          <w:numId w:val="1002"/>
        </w:numPr>
      </w:pPr>
      <w:r>
        <w:t xml:space="preserve">Planned actions for</w:t>
      </w:r>
      <w:r>
        <w:t xml:space="preserve"> </w:t>
      </w:r>
      <w:r>
        <w:t xml:space="preserve">‘</w:t>
      </w:r>
      <w:r>
        <w:t xml:space="preserve">not on track</w:t>
      </w:r>
      <w:r>
        <w:t xml:space="preserve">’</w:t>
      </w:r>
      <w:r>
        <w:t xml:space="preserve"> </w:t>
      </w:r>
      <w:r>
        <w:t xml:space="preserve">targets. Planned actions may include the launch of new activities, building awareness, holding portfolio reviews, or other suggestions. (Limit 100 words)</w:t>
      </w:r>
    </w:p>
    <w:bookmarkEnd w:id="81"/>
    <w:bookmarkEnd w:id="82"/>
    <w:bookmarkStart w:id="85" w:name="performance-target-1-sales-not-on-track"/>
    <w:p>
      <w:pPr>
        <w:pStyle w:val="Heading2"/>
      </w:pPr>
      <w:r>
        <w:t xml:space="preserve">Performance Target 1: Sales [Not on Track]</w:t>
      </w:r>
    </w:p>
    <w:p>
      <w:pPr>
        <w:pStyle w:val="FirstParagraph"/>
      </w:pPr>
      <w:r>
        <w:rPr>
          <w:iCs/>
          <w:i/>
        </w:rPr>
        <w:t xml:space="preserve">Excerpt from FY23 KIN Section 4 to consider:</w:t>
      </w:r>
      <w:r>
        <w:t xml:space="preserve"> </w:t>
      </w:r>
      <w:r>
        <w:t xml:space="preserve">FY 2023 target was significantly exceeded. The actual sales value for FY 2023 amounted to $214,677.29, surpassing the initial target by a substantial margin. This deviation can be attributed to RESINA, PREMIER, and Recover Cabo Delgado activities. Notably, the Recover Cabo Delgado project played a pivotal role through its effective implementation of various initiatives. The project’s focus on increasing irrigation systems, distributing seeds, expanding producer participation, and providing training significantly contributed to surpassing the sales target. The success of the FY 2023 performance can be attributed to the following practices:Implementation of comprehensive training programs for producers to enhance their skills and knowledge; Expansion of irrigation systems to improve agricultural productivity and yield; Strategic distribution of high-quality seeds to farmers to enhance crop production; Effective outreach efforts resulting in increased participation of producers in the program. Pivots/Adjustments for Adaptive Management: Considering the outstanding performance in FY 2023, we aim to build upon these achievements by: Scaling up successful initiatives implemented by the Recover Cabo Delgado project to other regions; Continuing to strengthen partnerships with local communities and stakeholders to ensure sustained impact; Conducting regular monitoring and evaluation to identify areas for improvement and adjust strategies accordingly. Explanation for Future Targets: The aggressive increase in targets for FY 2024 and FY 2025 reflects our commitment to building upon the momentum gained in FY 2023. The substantial overachievement in FY 2023 demonstrates the potential for further growth and impact. Additionally, the continued implementation of successful practices and the expansion of our initiatives across regions are expected to contribute to sustained performance in the coming years.</w:t>
      </w:r>
    </w:p>
    <w:bookmarkStart w:id="83" w:name="Xfafa40c01c64c9a1ed8d844ea3e0e2004b7d274"/>
    <w:p>
      <w:pPr>
        <w:pStyle w:val="Heading4"/>
      </w:pPr>
      <w:r>
        <w:t xml:space="preserve">Enter USAID Mozambique’s explanation of why this target is</w:t>
      </w:r>
      <w:r>
        <w:t xml:space="preserve"> </w:t>
      </w:r>
      <w:r>
        <w:t xml:space="preserve">‘</w:t>
      </w:r>
      <w:r>
        <w:t xml:space="preserve">Not on track</w:t>
      </w:r>
      <w:r>
        <w:t xml:space="preserve">’</w:t>
      </w:r>
      <w:r>
        <w:t xml:space="preserve"> </w:t>
      </w:r>
      <w:r>
        <w:t xml:space="preserve">below (Limit 100 words):</w:t>
      </w:r>
      <w:r>
        <w:t xml:space="preserve"> </w:t>
      </w:r>
    </w:p>
    <w:bookmarkEnd w:id="83"/>
    <w:bookmarkStart w:id="84" w:name="Xd554b196665f1d6d5a9e928601c54e38d3552ff"/>
    <w:p>
      <w:pPr>
        <w:pStyle w:val="Heading4"/>
      </w:pPr>
      <w:r>
        <w:t xml:space="preserve">Enter USAID Mozambique’s planned actions for</w:t>
      </w:r>
      <w:r>
        <w:t xml:space="preserve"> </w:t>
      </w:r>
      <w:r>
        <w:t xml:space="preserve">‘</w:t>
      </w:r>
      <w:r>
        <w:t xml:space="preserve">Not on track</w:t>
      </w:r>
      <w:r>
        <w:t xml:space="preserve">’</w:t>
      </w:r>
      <w:r>
        <w:t xml:space="preserve"> </w:t>
      </w:r>
      <w:r>
        <w:t xml:space="preserve">targets below (Limit 100 words):</w:t>
      </w:r>
      <w:r>
        <w:t xml:space="preserve"> </w:t>
      </w:r>
    </w:p>
    <w:bookmarkEnd w:id="84"/>
    <w:bookmarkEnd w:id="85"/>
    <w:bookmarkStart w:id="88" w:name="Xd3d8d6371966079386b3ab254a139384d93ee67"/>
    <w:p>
      <w:pPr>
        <w:pStyle w:val="Heading2"/>
      </w:pPr>
      <w:r>
        <w:t xml:space="preserve">Performance Target 2: Gender financing ratio [Not on Track]</w:t>
      </w:r>
    </w:p>
    <w:p>
      <w:pPr>
        <w:pStyle w:val="FirstParagraph"/>
      </w:pPr>
      <w:r>
        <w:rPr>
          <w:iCs/>
          <w:i/>
        </w:rPr>
        <w:t xml:space="preserve">Excerpt from FY23 KIN Section 4 to consider:</w:t>
      </w:r>
      <w:r>
        <w:t xml:space="preserve"> </w:t>
      </w:r>
      <w:r>
        <w:t xml:space="preserve">is a new indicator for the Mission so the calculation is based on incomplete disaggregate data for EG.3.2-27 - Value of agriculture-related financing accessed as a result of USG assistance. In FY 23 Men accessed $1,574,143 and women accessed $199,038. There was $ for every dollar accessed by males, females accessed approximately $0.1264. While we exceeded the target for the value of agriculture-related finance, we did not meet the target for the value of finance accessed by females per dollar of finance accessed by males. We will ensure that the disaggregates are completed in FY 24 to ensure a more accurate representation.</w:t>
      </w:r>
    </w:p>
    <w:bookmarkStart w:id="86" w:name="X669a36f872b427f46580df113d8ca0a5dcbcc2b"/>
    <w:p>
      <w:pPr>
        <w:pStyle w:val="Heading4"/>
      </w:pPr>
      <w:r>
        <w:t xml:space="preserve">Enter USAID Mozambique’s explanation of why this target is</w:t>
      </w:r>
      <w:r>
        <w:t xml:space="preserve"> </w:t>
      </w:r>
      <w:r>
        <w:t xml:space="preserve">‘</w:t>
      </w:r>
      <w:r>
        <w:t xml:space="preserve">Not on track</w:t>
      </w:r>
      <w:r>
        <w:t xml:space="preserve">’</w:t>
      </w:r>
      <w:r>
        <w:t xml:space="preserve"> </w:t>
      </w:r>
      <w:r>
        <w:t xml:space="preserve">below (Limit 100 words):</w:t>
      </w:r>
      <w:r>
        <w:t xml:space="preserve"> </w:t>
      </w:r>
    </w:p>
    <w:bookmarkEnd w:id="86"/>
    <w:bookmarkStart w:id="87" w:name="X94a39ec0d90876381337ed53899b336ca7bf8fd"/>
    <w:p>
      <w:pPr>
        <w:pStyle w:val="Heading4"/>
      </w:pPr>
      <w:r>
        <w:t xml:space="preserve">Enter USAID Mozambique’s planned actions for</w:t>
      </w:r>
      <w:r>
        <w:t xml:space="preserve"> </w:t>
      </w:r>
      <w:r>
        <w:t xml:space="preserve">‘</w:t>
      </w:r>
      <w:r>
        <w:t xml:space="preserve">Not on track</w:t>
      </w:r>
      <w:r>
        <w:t xml:space="preserve">’</w:t>
      </w:r>
      <w:r>
        <w:t xml:space="preserve"> </w:t>
      </w:r>
      <w:r>
        <w:t xml:space="preserve">targets below (Limit 100 words):</w:t>
      </w:r>
      <w:r>
        <w:t xml:space="preserve"> </w:t>
      </w:r>
    </w:p>
    <w:bookmarkEnd w:id="87"/>
    <w:bookmarkEnd w:id="88"/>
    <w:bookmarkStart w:id="91" w:name="X8de971756c6e3bb20ee84819a72fbfe46c0d694"/>
    <w:p>
      <w:pPr>
        <w:pStyle w:val="Heading2"/>
      </w:pPr>
      <w:r>
        <w:t xml:space="preserve">Performance Target 3: Hectares under climate adaptive and risk management practices [Not on Track]</w:t>
      </w:r>
    </w:p>
    <w:p>
      <w:pPr>
        <w:pStyle w:val="FirstParagraph"/>
      </w:pPr>
      <w:r>
        <w:rPr>
          <w:iCs/>
          <w:i/>
        </w:rPr>
        <w:t xml:space="preserve">Excerpt from FY23 KIN Section 4 to consider:</w:t>
      </w:r>
      <w:r>
        <w:t xml:space="preserve"> </w:t>
      </w:r>
      <w:r>
        <w:t xml:space="preserve">disaggregated data for this indicator does not allow us to accurately report. However, in FY23 the hectares of crop land under improved technologies was 6071.5 hectares. While not specified in the disaggregated dates, these are hectares under improved climate adaptation management practices. Promising practices promoted under our activities included the adoption of improved climate adapted seeds, intercropping of drought tolerant leguminous crops for soil fertility, composting soil fertility management practices. The Mission is working on improving the disaggregation of the specific climate smart and resilient agriculture innovations and practices being adopted.</w:t>
      </w:r>
    </w:p>
    <w:bookmarkStart w:id="89" w:name="X19e96d84fe1a7382cb46e89aa5dfa15896bb05c"/>
    <w:p>
      <w:pPr>
        <w:pStyle w:val="Heading4"/>
      </w:pPr>
      <w:r>
        <w:t xml:space="preserve">Enter USAID Mozambique’s explanation of why this target is</w:t>
      </w:r>
      <w:r>
        <w:t xml:space="preserve"> </w:t>
      </w:r>
      <w:r>
        <w:t xml:space="preserve">‘</w:t>
      </w:r>
      <w:r>
        <w:t xml:space="preserve">Not on track</w:t>
      </w:r>
      <w:r>
        <w:t xml:space="preserve">’</w:t>
      </w:r>
      <w:r>
        <w:t xml:space="preserve"> </w:t>
      </w:r>
      <w:r>
        <w:t xml:space="preserve">below (Limit 100 words):</w:t>
      </w:r>
      <w:r>
        <w:t xml:space="preserve"> </w:t>
      </w:r>
    </w:p>
    <w:bookmarkEnd w:id="89"/>
    <w:bookmarkStart w:id="90" w:name="Xbe4b831c4295e9929bc255ccc5380a57a9f3d06"/>
    <w:p>
      <w:pPr>
        <w:pStyle w:val="Heading4"/>
      </w:pPr>
      <w:r>
        <w:t xml:space="preserve">Enter USAID Mozambique’s planned actions for</w:t>
      </w:r>
      <w:r>
        <w:t xml:space="preserve"> </w:t>
      </w:r>
      <w:r>
        <w:t xml:space="preserve">‘</w:t>
      </w:r>
      <w:r>
        <w:t xml:space="preserve">Not on track</w:t>
      </w:r>
      <w:r>
        <w:t xml:space="preserve">’</w:t>
      </w:r>
      <w:r>
        <w:t xml:space="preserve"> </w:t>
      </w:r>
      <w:r>
        <w:t xml:space="preserve">targets below (Limit 100 words):</w:t>
      </w:r>
      <w:r>
        <w:t xml:space="preserve"> </w:t>
      </w:r>
    </w:p>
    <w:bookmarkEnd w:id="90"/>
    <w:bookmarkEnd w:id="91"/>
    <w:bookmarkStart w:id="94" w:name="X211d087b134805966d5524abe3f0c60c6f4d7eb"/>
    <w:p>
      <w:pPr>
        <w:pStyle w:val="Heading2"/>
      </w:pPr>
      <w:r>
        <w:t xml:space="preserve">Performance Target 4: Private sector investment [Not on Track]</w:t>
      </w:r>
    </w:p>
    <w:p>
      <w:pPr>
        <w:pStyle w:val="FirstParagraph"/>
      </w:pPr>
      <w:r>
        <w:rPr>
          <w:iCs/>
          <w:i/>
        </w:rPr>
        <w:t xml:space="preserve">Excerpt from FY23 KIN Section 4 to consider:</w:t>
      </w:r>
      <w:r>
        <w:t xml:space="preserve"> </w:t>
      </w:r>
      <w:r>
        <w:t xml:space="preserve">disaggregated data for this indicator does not allow us to accurately report. However, in FY23 the hectares of crop land under improved technologies was 6071.5 hectares. While not specified in the disaggregated dates, these are hectares under improved climate adaptation management practices. Promising practices promoted under our activities included the adoption of improved climate adapted seeds, intercropping of drought tolerant leguminous crops for soil fertility, composting soil fertility management practices. The Mission is working on improving the disaggregation of the specific climate smart and resilient agriculture innovations and practices being adopted.</w:t>
      </w:r>
    </w:p>
    <w:bookmarkStart w:id="92" w:name="X0f40268e8ddc797626e1ebcaf1cfb12544f5258"/>
    <w:p>
      <w:pPr>
        <w:pStyle w:val="Heading4"/>
      </w:pPr>
      <w:r>
        <w:t xml:space="preserve">Enter USAID Mozambique’s explanation of why this target is</w:t>
      </w:r>
      <w:r>
        <w:t xml:space="preserve"> </w:t>
      </w:r>
      <w:r>
        <w:t xml:space="preserve">‘</w:t>
      </w:r>
      <w:r>
        <w:t xml:space="preserve">Not on track</w:t>
      </w:r>
      <w:r>
        <w:t xml:space="preserve">’</w:t>
      </w:r>
      <w:r>
        <w:t xml:space="preserve"> </w:t>
      </w:r>
      <w:r>
        <w:t xml:space="preserve">below (Limit 100 words):</w:t>
      </w:r>
      <w:r>
        <w:t xml:space="preserve"> </w:t>
      </w:r>
    </w:p>
    <w:bookmarkEnd w:id="92"/>
    <w:bookmarkStart w:id="93" w:name="Xc7e49b96a52b58786bb526744fe80cacdf505bf"/>
    <w:p>
      <w:pPr>
        <w:pStyle w:val="Heading4"/>
      </w:pPr>
      <w:r>
        <w:t xml:space="preserve">Enter USAID Mozambique’s planned actions for</w:t>
      </w:r>
      <w:r>
        <w:t xml:space="preserve"> </w:t>
      </w:r>
      <w:r>
        <w:t xml:space="preserve">‘</w:t>
      </w:r>
      <w:r>
        <w:t xml:space="preserve">Not on track</w:t>
      </w:r>
      <w:r>
        <w:t xml:space="preserve">’</w:t>
      </w:r>
      <w:r>
        <w:t xml:space="preserve"> </w:t>
      </w:r>
      <w:r>
        <w:t xml:space="preserve">targets below (Limit 100 words):</w:t>
      </w:r>
      <w:r>
        <w:t xml:space="preserve"> </w:t>
      </w:r>
    </w:p>
    <w:bookmarkEnd w:id="93"/>
    <w:bookmarkEnd w:id="94"/>
    <w:bookmarkEnd w:id="95"/>
    <w:sectPr w:rsidR="005D705A" w:rsidRPr="005D705A" w:rsidSect="00555208">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514DC" w14:textId="77777777" w:rsidR="00C159BC" w:rsidRDefault="00C159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D7BF4" w14:textId="07C08F98" w:rsidR="0059508C" w:rsidRDefault="00890C82" w:rsidP="00890C82">
    <w:pPr>
      <w:pStyle w:val="Footer"/>
    </w:pPr>
    <w:r w:rsidRPr="00CF0E78">
      <mc:AlternateContent>
        <mc:Choice Requires="wps">
          <w:drawing>
            <wp:anchor distT="0" distB="0" distL="114300" distR="114300" simplePos="0" relativeHeight="251658239" behindDoc="1" locked="0" layoutInCell="1" allowOverlap="1" wp14:anchorId="22F23042" wp14:editId="59322047">
              <wp:simplePos x="0" y="0"/>
              <wp:positionH relativeFrom="page">
                <wp:align>right</wp:align>
              </wp:positionH>
              <wp:positionV relativeFrom="paragraph">
                <wp:posOffset>5907</wp:posOffset>
              </wp:positionV>
              <wp:extent cx="7802245" cy="625738"/>
              <wp:effectExtent l="0" t="0" r="8255" b="3175"/>
              <wp:wrapNone/>
              <wp:docPr id="176871852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02245" cy="625738"/>
                      </a:xfrm>
                      <a:prstGeom prst="rect">
                        <a:avLst/>
                      </a:prstGeom>
                      <a:solidFill>
                        <a:srgbClr val="8C898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A7DFA5" id="Rectangle 4" o:spid="_x0000_s1026" style="position:absolute;margin-left:563.15pt;margin-top:.45pt;width:614.35pt;height:49.25pt;z-index:-251658241;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" fillcolor="#8c8985" stroked="f">
              <w10:wrap anchorx="page"/>
            </v:rect>
          </w:pict>
        </mc:Fallback>
      </mc:AlternateContent>
    </w:r>
    <w:r>
      <w:drawing>
        <wp:anchor distT="0" distB="0" distL="114300" distR="114300" simplePos="0" relativeHeight="251660288" behindDoc="0" locked="0" layoutInCell="1" allowOverlap="1" wp14:anchorId="32E2DB40" wp14:editId="02B7337B">
          <wp:simplePos x="0" y="0"/>
          <wp:positionH relativeFrom="column">
            <wp:posOffset>1610360</wp:posOffset>
          </wp:positionH>
          <wp:positionV relativeFrom="paragraph">
            <wp:posOffset>-4445</wp:posOffset>
          </wp:positionV>
          <wp:extent cx="3631565" cy="634365"/>
          <wp:effectExtent l="0" t="0" r="6985" b="0"/>
          <wp:wrapNone/>
          <wp:docPr id="789269729"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967508" name="Picture 6" descr="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3631565" cy="634365"/>
                  </a:xfrm>
                  <a:prstGeom prst="rect">
                    <a:avLst/>
                  </a:prstGeom>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A5295" w14:textId="77777777" w:rsidR="00C159BC" w:rsidRDefault="00C159B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10CDB" w14:textId="77777777" w:rsidR="00C159BC" w:rsidRDefault="00C159BC" w:rsidP="00C159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F6748" w14:textId="64C81A65" w:rsidR="0095186D" w:rsidRPr="00F839FB" w:rsidRDefault="008A113B" w:rsidP="00C159BC">
    <w:pPr>
      <w:pStyle w:val="Header"/>
    </w:pPr>
    <w:r w:rsidRPr="00C159BC">
      <w:drawing>
        <wp:anchor distT="0" distB="0" distL="114300" distR="114300" simplePos="0" relativeHeight="251661312" behindDoc="1" locked="0" layoutInCell="1" allowOverlap="1" wp14:anchorId="6BA9710A" wp14:editId="000E1BB5">
          <wp:simplePos x="0" y="0"/>
          <wp:positionH relativeFrom="column">
            <wp:posOffset>7458</wp:posOffset>
          </wp:positionH>
          <wp:positionV relativeFrom="paragraph">
            <wp:posOffset>-222885</wp:posOffset>
          </wp:positionV>
          <wp:extent cx="1733550" cy="510540"/>
          <wp:effectExtent l="0" t="0" r="0" b="3810"/>
          <wp:wrapNone/>
          <wp:docPr id="859012756" name="Picture 2" descr="USAID logo with USAID seal on the left and USAID statement on bottom stating &quot;From the American Peopl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AID logo with USAID seal on the left and USAID statement on bottom stating &quot;From the American People&qu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3550" cy="510540"/>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1A139" w14:textId="77777777" w:rsidR="00C159BC" w:rsidRDefault="00C159BC" w:rsidP="00C159BC">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B7BC5D0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12AC97D8"/>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637762178" w:numId="1">
    <w:abstractNumId w:val="0"/>
  </w:num>
  <w:num w16cid:durableId="1548834929" w:numId="2">
    <w:abstractNumId w:val="0"/>
  </w:num>
  <w:num w16cid:durableId="872692196" w:numId="3">
    <w:abstractNumId w:val="1"/>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1D6993"/>
    <w:rPr>
      <w:rFonts w:ascii="Gill Sans MT" w:hAnsi="Gill Sans MT"/>
    </w:rPr>
  </w:style>
  <w:style w:styleId="Heading1" w:type="paragraph">
    <w:name w:val="heading 1"/>
    <w:basedOn w:val="Heading2"/>
    <w:next w:val="BodyText"/>
    <w:uiPriority w:val="9"/>
    <w:qFormat/>
    <w:rsid w:val="00B81B1C"/>
    <w:pPr>
      <w:outlineLvl w:val="0"/>
    </w:pPr>
    <w:rPr>
      <w:color w:val="BA0C2F"/>
      <w:sz w:val="36"/>
      <w:szCs w:val="36"/>
    </w:rPr>
  </w:style>
  <w:style w:styleId="Heading2" w:type="paragraph">
    <w:name w:val="heading 2"/>
    <w:basedOn w:val="Normal"/>
    <w:next w:val="BodyText"/>
    <w:uiPriority w:val="9"/>
    <w:unhideWhenUsed/>
    <w:qFormat/>
    <w:rsid w:val="005E246B"/>
    <w:pPr>
      <w:keepNext/>
      <w:keepLines/>
      <w:spacing w:after="0" w:before="200"/>
      <w:jc w:val="both"/>
      <w:outlineLvl w:val="1"/>
    </w:pPr>
    <w:rPr>
      <w:rFonts w:cstheme="majorBidi" w:eastAsiaTheme="majorEastAsia"/>
      <w:b/>
      <w:bCs/>
      <w:color w:val="C00000"/>
      <w:sz w:val="28"/>
      <w:szCs w:val="28"/>
    </w:rPr>
  </w:style>
  <w:style w:styleId="Heading3" w:type="paragraph">
    <w:name w:val="heading 3"/>
    <w:basedOn w:val="Heading1"/>
    <w:next w:val="BodyText"/>
    <w:uiPriority w:val="9"/>
    <w:unhideWhenUsed/>
    <w:qFormat/>
    <w:rsid w:val="00B81B1C"/>
    <w:pPr>
      <w:pageBreakBefore/>
      <w:outlineLvl w:val="2"/>
    </w:pPr>
    <w:rPr>
      <w:sz w:val="32"/>
      <w:szCs w:val="32"/>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Heading3"/>
    <w:next w:val="BodyText"/>
    <w:uiPriority w:val="9"/>
    <w:unhideWhenUsed/>
    <w:qFormat/>
    <w:rsid w:val="00A563E9"/>
    <w:pPr>
      <w:outlineLvl w:val="5"/>
    </w:pPr>
    <w:rPr>
      <w:sz w:val="28"/>
      <w:szCs w:val="28"/>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EE0252"/>
    <w:pPr>
      <w:spacing w:after="180" w:before="180"/>
      <w:jc w:val="both"/>
    </w:pPr>
    <w:rPr>
      <w:rFonts w:cs="Times New Roman"/>
    </w:rPr>
  </w:style>
  <w:style w:customStyle="1" w:styleId="FirstParagraph" w:type="paragraph">
    <w:name w:val="First Paragraph"/>
    <w:basedOn w:val="BodyText"/>
    <w:next w:val="BodyText"/>
    <w:qFormat/>
    <w:rsid w:val="00D15A4A"/>
  </w:style>
  <w:style w:customStyle="1" w:styleId="Compact" w:type="paragraph">
    <w:name w:val="Compact"/>
    <w:basedOn w:val="BodyText"/>
    <w:qFormat/>
    <w:pPr>
      <w:spacing w:after="36" w:before="36"/>
    </w:pPr>
  </w:style>
  <w:style w:styleId="Title" w:type="paragraph">
    <w:name w:val="Title"/>
    <w:basedOn w:val="Normal"/>
    <w:next w:val="BodyText"/>
    <w:qFormat/>
    <w:rsid w:val="00D15A4A"/>
    <w:pPr>
      <w:keepNext/>
      <w:keepLines/>
      <w:spacing w:after="240" w:before="480"/>
      <w:jc w:val="center"/>
    </w:pPr>
    <w:rPr>
      <w:rFonts w:cstheme="majorBidi" w:eastAsiaTheme="majorEastAsia"/>
      <w:b/>
      <w:bCs/>
      <w:color w:val="00206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4F72B0"/>
    <w:pPr>
      <w:keepNext/>
      <w:keepLines/>
    </w:pPr>
    <w:rPr>
      <w:rFonts w:ascii="Gill Sans MT" w:cs="Times New Roman" w:hAnsi="Gill Sans MT"/>
    </w:rPr>
  </w:style>
  <w:style w:styleId="Date" w:type="paragraph">
    <w:name w:val="Date"/>
    <w:next w:val="BodyText"/>
    <w:qFormat/>
    <w:rsid w:val="004F72B0"/>
    <w:pPr>
      <w:keepNext/>
      <w:keepLines/>
    </w:pPr>
    <w:rPr>
      <w:rFonts w:ascii="Gill Sans MT" w:hAnsi="Gill Sans MT"/>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2616B"/>
    <w:rPr>
      <w:rFonts w:ascii="Courier New" w:cs="Courier New" w:hAnsi="Courier New"/>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BodyText"/>
    <w:link w:val="VerbatimChar"/>
    <w:rsid w:val="00E2616B"/>
    <w:rPr>
      <w:rFonts w:ascii="Courier New" w:cs="Courier New" w:hAnsi="Courier New"/>
    </w:rPr>
  </w:style>
  <w:style w:customStyle="1" w:styleId="KeywordTok" w:type="character">
    <w:name w:val="KeywordTok"/>
    <w:basedOn w:val="VerbatimChar"/>
    <w:rPr>
      <w:rFonts w:ascii="Courier New" w:cs="Courier New" w:hAnsi="Courier New"/>
      <w:b/>
      <w:color w:val="204A87"/>
      <w:shd w:color="auto" w:fill="F8F8F8" w:val="clear"/>
    </w:rPr>
  </w:style>
  <w:style w:customStyle="1" w:styleId="DataTypeTok" w:type="character">
    <w:name w:val="DataTypeTok"/>
    <w:basedOn w:val="VerbatimChar"/>
    <w:rPr>
      <w:rFonts w:ascii="Courier New" w:cs="Courier New" w:hAnsi="Courier New"/>
      <w:color w:val="204A87"/>
      <w:shd w:color="auto" w:fill="F8F8F8" w:val="clear"/>
    </w:rPr>
  </w:style>
  <w:style w:customStyle="1" w:styleId="DecValTok" w:type="character">
    <w:name w:val="DecValTok"/>
    <w:basedOn w:val="VerbatimChar"/>
    <w:rPr>
      <w:rFonts w:ascii="Courier New" w:cs="Courier New" w:hAnsi="Courier New"/>
      <w:color w:val="0000CF"/>
      <w:shd w:color="auto" w:fill="F8F8F8" w:val="clear"/>
    </w:rPr>
  </w:style>
  <w:style w:customStyle="1" w:styleId="BaseNTok" w:type="character">
    <w:name w:val="BaseNTok"/>
    <w:basedOn w:val="VerbatimChar"/>
    <w:rPr>
      <w:rFonts w:ascii="Courier New" w:cs="Courier New" w:hAnsi="Courier New"/>
      <w:color w:val="0000CF"/>
      <w:shd w:color="auto" w:fill="F8F8F8" w:val="clear"/>
    </w:rPr>
  </w:style>
  <w:style w:customStyle="1" w:styleId="FloatTok" w:type="character">
    <w:name w:val="FloatTok"/>
    <w:basedOn w:val="VerbatimChar"/>
    <w:rPr>
      <w:rFonts w:ascii="Courier New" w:cs="Courier New" w:hAnsi="Courier New"/>
      <w:color w:val="0000CF"/>
      <w:shd w:color="auto" w:fill="F8F8F8" w:val="clear"/>
    </w:rPr>
  </w:style>
  <w:style w:customStyle="1" w:styleId="ConstantTok" w:type="character">
    <w:name w:val="ConstantTok"/>
    <w:basedOn w:val="VerbatimChar"/>
    <w:rPr>
      <w:rFonts w:ascii="Courier New" w:cs="Courier New" w:hAnsi="Courier New"/>
      <w:color w:val="8F5902"/>
      <w:shd w:color="auto" w:fill="F8F8F8" w:val="clear"/>
    </w:rPr>
  </w:style>
  <w:style w:customStyle="1" w:styleId="CharTok" w:type="character">
    <w:name w:val="CharTok"/>
    <w:basedOn w:val="VerbatimChar"/>
    <w:rPr>
      <w:rFonts w:ascii="Courier New" w:cs="Courier New" w:hAnsi="Courier New"/>
      <w:color w:val="4E9A06"/>
      <w:shd w:color="auto" w:fill="F8F8F8" w:val="clear"/>
    </w:rPr>
  </w:style>
  <w:style w:customStyle="1" w:styleId="SpecialCharTok" w:type="character">
    <w:name w:val="SpecialCharTok"/>
    <w:basedOn w:val="VerbatimChar"/>
    <w:rPr>
      <w:rFonts w:ascii="Courier New" w:cs="Courier New" w:hAnsi="Courier New"/>
      <w:b/>
      <w:color w:val="CE5C00"/>
      <w:shd w:color="auto" w:fill="F8F8F8" w:val="clear"/>
    </w:rPr>
  </w:style>
  <w:style w:customStyle="1" w:styleId="StringTok" w:type="character">
    <w:name w:val="StringTok"/>
    <w:basedOn w:val="VerbatimChar"/>
    <w:rPr>
      <w:rFonts w:ascii="Courier New" w:cs="Courier New" w:hAnsi="Courier New"/>
      <w:color w:val="4E9A06"/>
      <w:shd w:color="auto" w:fill="F8F8F8" w:val="clear"/>
    </w:rPr>
  </w:style>
  <w:style w:customStyle="1" w:styleId="VerbatimStringTok" w:type="character">
    <w:name w:val="VerbatimStringTok"/>
    <w:basedOn w:val="VerbatimChar"/>
    <w:rPr>
      <w:rFonts w:ascii="Courier New" w:cs="Courier New" w:hAnsi="Courier New"/>
      <w:color w:val="4E9A06"/>
      <w:shd w:color="auto" w:fill="F8F8F8" w:val="clear"/>
    </w:rPr>
  </w:style>
  <w:style w:customStyle="1" w:styleId="SpecialStringTok" w:type="character">
    <w:name w:val="SpecialStringTok"/>
    <w:basedOn w:val="VerbatimChar"/>
    <w:rPr>
      <w:rFonts w:ascii="Courier New" w:cs="Courier New" w:hAnsi="Courier New"/>
      <w:color w:val="4E9A06"/>
      <w:shd w:color="auto" w:fill="F8F8F8" w:val="clear"/>
    </w:rPr>
  </w:style>
  <w:style w:customStyle="1" w:styleId="ImportTok" w:type="character">
    <w:name w:val="ImportTok"/>
    <w:basedOn w:val="VerbatimChar"/>
    <w:rPr>
      <w:rFonts w:ascii="Courier New" w:cs="Courier New" w:hAnsi="Courier New"/>
      <w:shd w:color="auto" w:fill="F8F8F8" w:val="clear"/>
    </w:rPr>
  </w:style>
  <w:style w:customStyle="1" w:styleId="CommentTok" w:type="character">
    <w:name w:val="CommentTok"/>
    <w:basedOn w:val="VerbatimChar"/>
    <w:rPr>
      <w:rFonts w:ascii="Courier New" w:cs="Courier New" w:hAnsi="Courier New"/>
      <w:i/>
      <w:color w:val="8F5902"/>
      <w:shd w:color="auto" w:fill="F8F8F8" w:val="clear"/>
    </w:rPr>
  </w:style>
  <w:style w:customStyle="1" w:styleId="DocumentationTok" w:type="character">
    <w:name w:val="DocumentationTok"/>
    <w:basedOn w:val="VerbatimChar"/>
    <w:rPr>
      <w:rFonts w:ascii="Courier New" w:cs="Courier New" w:hAnsi="Courier New"/>
      <w:b/>
      <w:i/>
      <w:color w:val="8F5902"/>
      <w:shd w:color="auto" w:fill="F8F8F8" w:val="clear"/>
    </w:rPr>
  </w:style>
  <w:style w:customStyle="1" w:styleId="AnnotationTok" w:type="character">
    <w:name w:val="AnnotationTok"/>
    <w:basedOn w:val="VerbatimChar"/>
    <w:rPr>
      <w:rFonts w:ascii="Courier New" w:cs="Courier New" w:hAnsi="Courier New"/>
      <w:b/>
      <w:i/>
      <w:color w:val="8F5902"/>
      <w:shd w:color="auto" w:fill="F8F8F8" w:val="clear"/>
    </w:rPr>
  </w:style>
  <w:style w:customStyle="1" w:styleId="CommentVarTok" w:type="character">
    <w:name w:val="CommentVarTok"/>
    <w:basedOn w:val="VerbatimChar"/>
    <w:rPr>
      <w:rFonts w:ascii="Courier New" w:cs="Courier New" w:hAnsi="Courier New"/>
      <w:b/>
      <w:i/>
      <w:color w:val="8F5902"/>
      <w:shd w:color="auto" w:fill="F8F8F8" w:val="clear"/>
    </w:rPr>
  </w:style>
  <w:style w:customStyle="1" w:styleId="OtherTok" w:type="character">
    <w:name w:val="OtherTok"/>
    <w:basedOn w:val="VerbatimChar"/>
    <w:rPr>
      <w:rFonts w:ascii="Courier New" w:cs="Courier New" w:hAnsi="Courier New"/>
      <w:color w:val="8F5902"/>
      <w:shd w:color="auto" w:fill="F8F8F8" w:val="clear"/>
    </w:rPr>
  </w:style>
  <w:style w:customStyle="1" w:styleId="FunctionTok" w:type="character">
    <w:name w:val="FunctionTok"/>
    <w:basedOn w:val="VerbatimChar"/>
    <w:rPr>
      <w:rFonts w:ascii="Courier New" w:cs="Courier New" w:hAnsi="Courier New"/>
      <w:b/>
      <w:color w:val="204A87"/>
      <w:shd w:color="auto" w:fill="F8F8F8" w:val="clear"/>
    </w:rPr>
  </w:style>
  <w:style w:customStyle="1" w:styleId="VariableTok" w:type="character">
    <w:name w:val="VariableTok"/>
    <w:basedOn w:val="VerbatimChar"/>
    <w:rPr>
      <w:rFonts w:ascii="Courier New" w:cs="Courier New" w:hAnsi="Courier New"/>
      <w:color w:val="000000"/>
      <w:shd w:color="auto" w:fill="F8F8F8" w:val="clear"/>
    </w:rPr>
  </w:style>
  <w:style w:customStyle="1" w:styleId="ControlFlowTok" w:type="character">
    <w:name w:val="ControlFlowTok"/>
    <w:basedOn w:val="VerbatimChar"/>
    <w:rPr>
      <w:rFonts w:ascii="Courier New" w:cs="Courier New" w:hAnsi="Courier New"/>
      <w:b/>
      <w:color w:val="204A87"/>
      <w:shd w:color="auto" w:fill="F8F8F8" w:val="clear"/>
    </w:rPr>
  </w:style>
  <w:style w:customStyle="1" w:styleId="OperatorTok" w:type="character">
    <w:name w:val="OperatorTok"/>
    <w:basedOn w:val="VerbatimChar"/>
    <w:rPr>
      <w:rFonts w:ascii="Courier New" w:cs="Courier New" w:hAnsi="Courier New"/>
      <w:b/>
      <w:color w:val="CE5C00"/>
      <w:shd w:color="auto" w:fill="F8F8F8" w:val="clear"/>
    </w:rPr>
  </w:style>
  <w:style w:customStyle="1" w:styleId="BuiltInTok" w:type="character">
    <w:name w:val="BuiltInTok"/>
    <w:basedOn w:val="VerbatimChar"/>
    <w:rPr>
      <w:rFonts w:ascii="Courier New" w:cs="Courier New" w:hAnsi="Courier New"/>
      <w:shd w:color="auto" w:fill="F8F8F8" w:val="clear"/>
    </w:rPr>
  </w:style>
  <w:style w:customStyle="1" w:styleId="ExtensionTok" w:type="character">
    <w:name w:val="ExtensionTok"/>
    <w:basedOn w:val="VerbatimChar"/>
    <w:rPr>
      <w:rFonts w:ascii="Courier New" w:cs="Courier New" w:hAnsi="Courier New"/>
      <w:shd w:color="auto" w:fill="F8F8F8" w:val="clear"/>
    </w:rPr>
  </w:style>
  <w:style w:customStyle="1" w:styleId="PreprocessorTok" w:type="character">
    <w:name w:val="PreprocessorTok"/>
    <w:basedOn w:val="VerbatimChar"/>
    <w:rPr>
      <w:rFonts w:ascii="Courier New" w:cs="Courier New" w:hAnsi="Courier New"/>
      <w:i/>
      <w:color w:val="8F5902"/>
      <w:shd w:color="auto" w:fill="F8F8F8" w:val="clear"/>
    </w:rPr>
  </w:style>
  <w:style w:customStyle="1" w:styleId="AttributeTok" w:type="character">
    <w:name w:val="AttributeTok"/>
    <w:basedOn w:val="VerbatimChar"/>
    <w:rPr>
      <w:rFonts w:ascii="Courier New" w:cs="Courier New" w:hAnsi="Courier New"/>
      <w:color w:val="204A87"/>
      <w:shd w:color="auto" w:fill="F8F8F8" w:val="clear"/>
    </w:rPr>
  </w:style>
  <w:style w:customStyle="1" w:styleId="RegionMarkerTok" w:type="character">
    <w:name w:val="RegionMarkerTok"/>
    <w:basedOn w:val="VerbatimChar"/>
    <w:rPr>
      <w:rFonts w:ascii="Courier New" w:cs="Courier New" w:hAnsi="Courier New"/>
      <w:shd w:color="auto" w:fill="F8F8F8" w:val="clear"/>
    </w:rPr>
  </w:style>
  <w:style w:customStyle="1" w:styleId="InformationTok" w:type="character">
    <w:name w:val="InformationTok"/>
    <w:basedOn w:val="VerbatimChar"/>
    <w:rPr>
      <w:rFonts w:ascii="Courier New" w:cs="Courier New" w:hAnsi="Courier New"/>
      <w:b/>
      <w:i/>
      <w:color w:val="8F5902"/>
      <w:shd w:color="auto" w:fill="F8F8F8" w:val="clear"/>
    </w:rPr>
  </w:style>
  <w:style w:customStyle="1" w:styleId="WarningTok" w:type="character">
    <w:name w:val="WarningTok"/>
    <w:basedOn w:val="VerbatimChar"/>
    <w:rPr>
      <w:rFonts w:ascii="Courier New" w:cs="Courier New" w:hAnsi="Courier New"/>
      <w:b/>
      <w:i/>
      <w:color w:val="8F5902"/>
      <w:shd w:color="auto" w:fill="F8F8F8" w:val="clear"/>
    </w:rPr>
  </w:style>
  <w:style w:customStyle="1" w:styleId="AlertTok" w:type="character">
    <w:name w:val="AlertTok"/>
    <w:basedOn w:val="VerbatimChar"/>
    <w:rPr>
      <w:rFonts w:ascii="Courier New" w:cs="Courier New" w:hAnsi="Courier New"/>
      <w:color w:val="EF2929"/>
      <w:shd w:color="auto" w:fill="F8F8F8" w:val="clear"/>
    </w:rPr>
  </w:style>
  <w:style w:customStyle="1" w:styleId="ErrorTok" w:type="character">
    <w:name w:val="ErrorTok"/>
    <w:basedOn w:val="VerbatimChar"/>
    <w:rPr>
      <w:rFonts w:ascii="Courier New" w:cs="Courier New" w:hAnsi="Courier New"/>
      <w:b/>
      <w:color w:val="A40000"/>
      <w:shd w:color="auto" w:fill="F8F8F8" w:val="clear"/>
    </w:rPr>
  </w:style>
  <w:style w:customStyle="1" w:styleId="NormalTok" w:type="character">
    <w:name w:val="NormalTok"/>
    <w:basedOn w:val="VerbatimChar"/>
    <w:rPr>
      <w:rFonts w:ascii="Courier New" w:cs="Courier New" w:hAnsi="Courier New"/>
      <w:shd w:color="auto" w:fill="F8F8F8" w:val="clear"/>
    </w:rPr>
  </w:style>
  <w:style w:styleId="Header" w:type="paragraph">
    <w:name w:val="header"/>
    <w:basedOn w:val="Normal"/>
    <w:link w:val="HeaderChar"/>
    <w:rsid w:val="00C159BC"/>
    <w:pPr>
      <w:tabs>
        <w:tab w:pos="4680" w:val="center"/>
        <w:tab w:pos="9360" w:val="right"/>
      </w:tabs>
      <w:spacing w:after="0"/>
    </w:pPr>
    <w:rPr>
      <w:rFonts w:ascii="Arial" w:cs="Arial" w:hAnsi="Arial"/>
      <w:b/>
      <w:bCs/>
      <w:noProof/>
      <w:color w:val="0067B9"/>
      <w:sz w:val="36"/>
      <w:szCs w:val="36"/>
      <w:bdr w:color="auto" w:frame="1" w:space="0" w:sz="0" w:val="none"/>
    </w:rPr>
  </w:style>
  <w:style w:customStyle="1" w:styleId="HeaderChar" w:type="character">
    <w:name w:val="Header Char"/>
    <w:basedOn w:val="DefaultParagraphFont"/>
    <w:link w:val="Header"/>
    <w:rsid w:val="00C159BC"/>
    <w:rPr>
      <w:rFonts w:ascii="Arial" w:cs="Arial" w:hAnsi="Arial"/>
      <w:b/>
      <w:bCs/>
      <w:noProof/>
      <w:color w:val="0067B9"/>
      <w:sz w:val="36"/>
      <w:szCs w:val="36"/>
      <w:bdr w:color="auto" w:frame="1" w:space="0" w:sz="0" w:val="none"/>
    </w:rPr>
  </w:style>
  <w:style w:styleId="Footer" w:type="paragraph">
    <w:name w:val="footer"/>
    <w:basedOn w:val="Normal"/>
    <w:link w:val="FooterChar"/>
    <w:uiPriority w:val="99"/>
    <w:rsid w:val="00890C82"/>
    <w:pPr>
      <w:tabs>
        <w:tab w:pos="4680" w:val="center"/>
        <w:tab w:pos="9360" w:val="right"/>
      </w:tabs>
      <w:spacing w:after="0"/>
      <w:jc w:val="center"/>
    </w:pPr>
    <w:rPr>
      <w:noProof/>
    </w:rPr>
  </w:style>
  <w:style w:customStyle="1" w:styleId="FooterChar" w:type="character">
    <w:name w:val="Footer Char"/>
    <w:basedOn w:val="DefaultParagraphFont"/>
    <w:link w:val="Footer"/>
    <w:uiPriority w:val="99"/>
    <w:rsid w:val="00890C82"/>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52" Target="media/rId52.png" /><Relationship Type="http://schemas.openxmlformats.org/officeDocument/2006/relationships/image" Id="rId49" Target="media/rId49.png" /><Relationship Type="http://schemas.openxmlformats.org/officeDocument/2006/relationships/image" Id="rId69" Target="media/rId69.png" /><Relationship Type="http://schemas.openxmlformats.org/officeDocument/2006/relationships/image" Id="rId73" Target="media/rId73.png" /><Relationship Type="http://schemas.openxmlformats.org/officeDocument/2006/relationships/image" Id="rId64" Target="media/rId64.png" /><Relationship Type="http://schemas.openxmlformats.org/officeDocument/2006/relationships/image" Id="rId38" Target="media/rId38.png" /><Relationship Type="http://schemas.openxmlformats.org/officeDocument/2006/relationships/image" Id="rId35" Target="media/rId35.png" /><Relationship Type="http://schemas.openxmlformats.org/officeDocument/2006/relationships/image" Id="rId45" Target="media/rId45.png" /><Relationship Type="http://schemas.openxmlformats.org/officeDocument/2006/relationships/image" Id="rId42" Target="media/rId42.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23" Target="media/rId23.png" /><Relationship Type="http://schemas.openxmlformats.org/officeDocument/2006/relationships/image" Id="rId32" Target="media/rId32.png" /><Relationship Type="http://schemas.openxmlformats.org/officeDocument/2006/relationships/image" Id="rId29" Target="media/rId29.png" /><Relationship Type="http://schemas.openxmlformats.org/officeDocument/2006/relationships/image" Id="rId20" Target="media/rId20.png" /><Relationship Type="http://schemas.openxmlformats.org/officeDocument/2006/relationships/image" Id="rId78" Target="media/rId78.png" /><Relationship Type="http://schemas.openxmlformats.org/officeDocument/2006/relationships/hyperlink" Id="rId63" Target="https://data.worldbank.org/" TargetMode="External" /><Relationship Type="http://schemas.openxmlformats.org/officeDocument/2006/relationships/hyperlink" Id="rId26" Target="https://docs.google.com/document/d/13n-43ppFiGKauscQ7HaAiQDCM4DssGEgRdq2fMyTDn0/edit" TargetMode="External" /><Relationship Type="http://schemas.openxmlformats.org/officeDocument/2006/relationships/hyperlink" Id="rId27" Target="mailto:refs.adl.da@usaid.gov" TargetMode="External" /></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Relationships xmlns="http://schemas.openxmlformats.org/package/2006/relationships"><Relationship Type="http://schemas.openxmlformats.org/officeDocument/2006/relationships/hyperlink" Id="rId63" Target="https://data.worldbank.org/" TargetMode="External" /><Relationship Type="http://schemas.openxmlformats.org/officeDocument/2006/relationships/hyperlink" Id="rId26" Target="https://docs.google.com/document/d/13n-43ppFiGKauscQ7HaAiQDCM4DssGEgRdq2fMyTDn0/edit" TargetMode="External" /><Relationship Type="http://schemas.openxmlformats.org/officeDocument/2006/relationships/hyperlink" Id="rId27" Target="mailto:refs.adl.da@usaid.gov"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312</Words>
  <Characters>1784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USAID Bangladesh Country Scorecard</vt:lpstr>
    </vt:vector>
  </TitlesOfParts>
  <Company>USAID</Company>
  <LinksUpToDate>false</LinksUpToDate>
  <CharactersWithSpaces>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FTF FY 2023 Performance Scorecard USAID Mozambique</dc:title>
  <dc:creator/>
  <cp:keywords/>
  <dcterms:created xsi:type="dcterms:W3CDTF">2024-05-21T21:56:10Z</dcterms:created>
  <dcterms:modified xsi:type="dcterms:W3CDTF">2024-05-21T21:56:10Z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