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Nepal</w:t>
      </w:r>
    </w:p>
    <w:p>
      <w:pPr>
        <w:pStyle w:val="FirstParagraph"/>
      </w:pPr>
      <w:r>
        <w:t xml:space="preserve">This Feed the Future (FTF) Performance Scorecard assesses the USAID Nepal progress toward FY 2030 Performance Targets.</w:t>
      </w:r>
    </w:p>
    <w:bookmarkStart w:id="9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epal%20(NEPAL)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epal%20(NEPAL)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Nepal.</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epal%20(NEPAL)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epal%20(NEPAL)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$62,310,000.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epal%20(NEPAL)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epal%20(NEPAL)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2 IMs/Activities that reported all four sex disaggregates needed to contribute to PT2. The total value of financing among all activities, regardless of disaggregates, was $9,410,000 (EG.3.2-27 total), with $9,410,000 that was disaggregated by females and males, and an additional $200,000 to</w:t>
      </w:r>
      <w:r>
        <w:t xml:space="preserve"> </w:t>
      </w:r>
      <w:r>
        <w:t xml:space="preserve">‘</w:t>
      </w:r>
      <w:r>
        <w:t xml:space="preserve">mixed</w:t>
      </w:r>
      <w:r>
        <w:t xml:space="preserve">’</w:t>
      </w:r>
      <w:r>
        <w:t xml:space="preserve"> </w:t>
      </w:r>
      <w:r>
        <w:t xml:space="preserve">firms that have both males and females, and $0 that was not sex disaggregated.</w:t>
      </w:r>
      <w:r>
        <w:br/>
      </w:r>
      <w:r>
        <w:t xml:space="preserve">Note that while USAID Nepal was</w:t>
      </w:r>
      <w:r>
        <w:t xml:space="preserve"> </w:t>
      </w:r>
      <w:r>
        <w:t xml:space="preserve">‘</w:t>
      </w:r>
      <w:r>
        <w:t xml:space="preserve">Not on track</w:t>
      </w:r>
      <w:r>
        <w:t xml:space="preserve">’</w:t>
      </w:r>
      <w:r>
        <w:t xml:space="preserve"> </w:t>
      </w:r>
      <w:r>
        <w:t xml:space="preserve">in FY23, it expects an increase in FY24. Such an increase would make it</w:t>
      </w:r>
      <w:r>
        <w:t xml:space="preserve"> </w:t>
      </w:r>
      <w:r>
        <w:t xml:space="preserve">‘</w:t>
      </w:r>
      <w:r>
        <w:t xml:space="preserve">On track</w:t>
      </w:r>
      <w:r>
        <w:t xml:space="preserve">’</w:t>
      </w:r>
      <w:r>
        <w:t xml:space="preserve"> </w:t>
      </w:r>
      <w:r>
        <w:t xml:space="preserve">for this performance indicator.</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epal%20(NEPAL)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epal%20(NEPAL)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Nepal had 11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epal%20(NEPAL)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epal%20(NEPAL)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Nepal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epal%20(NEPAL)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epal%20(NEPAL)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Nepal was in 2019 and showed that 48% of women in the ZOI had consumed a minimally-diverse diet in the previous day or night. The FY30 target is 62% percent.The most recent PBS was in 2022, and it showed that the updated value is 0.484.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epal%20(NEPAL)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Nepal%20(NEPAL)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Nepal%20(NEPAL)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11 in the USAID Nepal (NEPAL)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07"/>
        <w:gridCol w:w="775"/>
        <w:gridCol w:w="4098"/>
        <w:gridCol w:w="1052"/>
        <w:gridCol w:w="221"/>
        <w:gridCol w:w="221"/>
        <w:gridCol w:w="221"/>
        <w:gridCol w:w="22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AID-367-C-17-00001</w:t>
            </w:r>
          </w:p>
        </w:tc>
        <w:tc>
          <w:tcPr/>
          <w:p>
            <w:pPr>
              <w:pStyle w:val="Compact"/>
              <w:jc w:val="right"/>
            </w:pPr>
            <w:r>
              <w:t xml:space="preserve">1219</w:t>
            </w:r>
          </w:p>
        </w:tc>
        <w:tc>
          <w:tcPr/>
          <w:p>
            <w:pPr>
              <w:pStyle w:val="Compact"/>
              <w:jc w:val="left"/>
            </w:pPr>
            <w:r>
              <w:t xml:space="preserve">Knowledge-Based Integrated Sustainable Agriculture in Nepal II (KISAN II)</w:t>
            </w:r>
          </w:p>
        </w:tc>
        <w:tc>
          <w:tcPr/>
          <w:p>
            <w:pPr>
              <w:pStyle w:val="Compact"/>
              <w:jc w:val="left"/>
            </w:pPr>
            <w:r>
              <w:t xml:space="preserve">$4,896,501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AID-367-IO-16-00001</w:t>
            </w:r>
          </w:p>
        </w:tc>
        <w:tc>
          <w:tcPr/>
          <w:p>
            <w:pPr>
              <w:pStyle w:val="Compact"/>
              <w:jc w:val="right"/>
            </w:pPr>
            <w:r>
              <w:t xml:space="preserve">1221</w:t>
            </w:r>
          </w:p>
        </w:tc>
        <w:tc>
          <w:tcPr/>
          <w:p>
            <w:pPr>
              <w:pStyle w:val="Compact"/>
              <w:jc w:val="left"/>
            </w:pPr>
            <w:r>
              <w:t xml:space="preserve">Nepal Seed and Fertilizer Project</w:t>
            </w:r>
          </w:p>
        </w:tc>
        <w:tc>
          <w:tcPr/>
          <w:p>
            <w:pPr>
              <w:pStyle w:val="Compact"/>
              <w:jc w:val="left"/>
            </w:pPr>
            <w:r>
              <w:t xml:space="preserve">$3,225,319</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72036721C00001</w:t>
            </w:r>
          </w:p>
        </w:tc>
        <w:tc>
          <w:tcPr/>
          <w:p>
            <w:pPr>
              <w:pStyle w:val="Compact"/>
              <w:jc w:val="right"/>
            </w:pPr>
            <w:r>
              <w:t xml:space="preserve">1217</w:t>
            </w:r>
          </w:p>
        </w:tc>
        <w:tc>
          <w:tcPr/>
          <w:p>
            <w:pPr>
              <w:pStyle w:val="Compact"/>
              <w:jc w:val="left"/>
            </w:pPr>
            <w:r>
              <w:t xml:space="preserve">USAID Karnali Water Activity</w:t>
            </w:r>
          </w:p>
        </w:tc>
        <w:tc>
          <w:tcPr/>
          <w:p>
            <w:pPr>
              <w:pStyle w:val="Compact"/>
              <w:jc w:val="left"/>
            </w:pPr>
            <w:r>
              <w:t xml:space="preserve">$935,708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80"/>
        <w:gridCol w:w="616"/>
        <w:gridCol w:w="3256"/>
        <w:gridCol w:w="880"/>
        <w:gridCol w:w="528"/>
        <w:gridCol w:w="1364"/>
        <w:gridCol w:w="39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AID-367-C-17-00001</w:t>
            </w:r>
          </w:p>
        </w:tc>
        <w:tc>
          <w:tcPr/>
          <w:p>
            <w:pPr>
              <w:pStyle w:val="Compact"/>
              <w:jc w:val="right"/>
            </w:pPr>
            <w:r>
              <w:t xml:space="preserve">1219</w:t>
            </w:r>
          </w:p>
        </w:tc>
        <w:tc>
          <w:tcPr/>
          <w:p>
            <w:pPr>
              <w:pStyle w:val="Compact"/>
              <w:jc w:val="left"/>
            </w:pPr>
            <w:r>
              <w:t xml:space="preserve">Knowledge-Based Integrated Sustainable Agriculture in Nepal II (KISAN II)</w:t>
            </w:r>
          </w:p>
        </w:tc>
        <w:tc>
          <w:tcPr/>
          <w:p>
            <w:pPr>
              <w:pStyle w:val="Compact"/>
              <w:jc w:val="left"/>
            </w:pPr>
            <w:r>
              <w:t xml:space="preserve">$4,896,501</w:t>
            </w:r>
          </w:p>
        </w:tc>
        <w:tc>
          <w:tcPr/>
          <w:p>
            <w:pPr>
              <w:pStyle w:val="Compact"/>
              <w:jc w:val="left"/>
            </w:pPr>
            <w:r>
              <w:t xml:space="preserve">$58,518,673</w:t>
            </w:r>
          </w:p>
        </w:tc>
        <w:tc>
          <w:tcPr/>
          <w:p>
            <w:pPr>
              <w:pStyle w:val="Compact"/>
              <w:jc w:val="left"/>
            </w:pPr>
            <w:r>
              <w:t xml:space="preserve">23 010</w:t>
            </w:r>
          </w:p>
        </w:tc>
        <w:tc>
          <w:tcPr/>
          <w:p>
            <w:pPr>
              <w:pStyle w:val="Compact"/>
              <w:jc w:val="left"/>
            </w:pPr>
            <w:r>
              <w:t xml:space="preserve">$434,996</w:t>
            </w:r>
          </w:p>
        </w:tc>
      </w:tr>
      <w:tr>
        <w:tc>
          <w:tcPr/>
          <w:p>
            <w:pPr>
              <w:pStyle w:val="Compact"/>
              <w:jc w:val="left"/>
            </w:pPr>
            <w:r>
              <w:t xml:space="preserve">AID-367-IO-16-00001</w:t>
            </w:r>
          </w:p>
        </w:tc>
        <w:tc>
          <w:tcPr/>
          <w:p>
            <w:pPr>
              <w:pStyle w:val="Compact"/>
              <w:jc w:val="right"/>
            </w:pPr>
            <w:r>
              <w:t xml:space="preserve">1221</w:t>
            </w:r>
          </w:p>
        </w:tc>
        <w:tc>
          <w:tcPr/>
          <w:p>
            <w:pPr>
              <w:pStyle w:val="Compact"/>
              <w:jc w:val="left"/>
            </w:pPr>
            <w:r>
              <w:t xml:space="preserve">Nepal Seed and Fertilizer Project</w:t>
            </w:r>
          </w:p>
        </w:tc>
        <w:tc>
          <w:tcPr/>
          <w:p>
            <w:pPr>
              <w:pStyle w:val="Compact"/>
              <w:jc w:val="left"/>
            </w:pPr>
            <w:r>
              <w:t xml:space="preserve">$3,225,319</w:t>
            </w:r>
          </w:p>
        </w:tc>
        <w:tc>
          <w:tcPr/>
          <w:p>
            <w:pPr>
              <w:pStyle w:val="Compact"/>
              <w:jc w:val="left"/>
            </w:pPr>
            <w:r>
              <w:t xml:space="preserve">$3,789,315</w:t>
            </w:r>
          </w:p>
        </w:tc>
        <w:tc>
          <w:tcPr/>
          <w:p>
            <w:pPr>
              <w:pStyle w:val="Compact"/>
              <w:jc w:val="left"/>
            </w:pPr>
            <w:r>
              <w:t xml:space="preserve">860</w:t>
            </w:r>
          </w:p>
        </w:tc>
        <w:tc>
          <w:tcPr/>
          <w:p>
            <w:pPr>
              <w:pStyle w:val="Compact"/>
              <w:jc w:val="left"/>
            </w:pPr>
            <w:r>
              <w:t xml:space="preserve">NA</w:t>
            </w:r>
          </w:p>
        </w:tc>
      </w:tr>
      <w:tr>
        <w:tc>
          <w:tcPr/>
          <w:p>
            <w:pPr>
              <w:pStyle w:val="Compact"/>
              <w:jc w:val="left"/>
            </w:pPr>
            <w:r>
              <w:t xml:space="preserve">72036721C00001</w:t>
            </w:r>
          </w:p>
        </w:tc>
        <w:tc>
          <w:tcPr/>
          <w:p>
            <w:pPr>
              <w:pStyle w:val="Compact"/>
              <w:jc w:val="right"/>
            </w:pPr>
            <w:r>
              <w:t xml:space="preserve">1217</w:t>
            </w:r>
          </w:p>
        </w:tc>
        <w:tc>
          <w:tcPr/>
          <w:p>
            <w:pPr>
              <w:pStyle w:val="Compact"/>
              <w:jc w:val="left"/>
            </w:pPr>
            <w:r>
              <w:t xml:space="preserve">USAID Karnali Water Activity</w:t>
            </w:r>
          </w:p>
        </w:tc>
        <w:tc>
          <w:tcPr/>
          <w:p>
            <w:pPr>
              <w:pStyle w:val="Compact"/>
              <w:jc w:val="left"/>
            </w:pPr>
            <w:r>
              <w:t xml:space="preserve">$935,708</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NPL.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Nepal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Nepal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indicator is reported as an aggregate figure of results reported by Mission FtF funded activities. FY 2023 Target= $31,726,384 FY 2023 Actual = $62,307,987 FY 2024 Target = $36,426,666 FY 2025 Target = TBD Mission exceeded its FY 2023 target, deviation is explained by the cautious FT 2023 targets from KISAN II. Based on the underachievement in FY 2022 and the unseasonal rain and landslides in October 2022, KISAN II set conservative targets. Also both KISAN II and NSAF were winding down. In FY 2023, agri-inputs market normalized, and COVID-19 impacts also diminished to a great extent. Additionally, Nepal did not experience extreme climate events such as the 2022 unseasonal rain. FY 2023 turned out to be a favorable year for the farmers leading to an increased production and sales. With the focus on using climate information, especially after erratic rain and landslides in October 2022, producers increased their awareness about the usefulness of climate and risk reduction information in farming practices. As a result, there was increased demand for training and the allocation of hectares under improved management and practices that promote improved climate risk reduction and/or natural resources management with USG assistance. KISAN II expanded farmers’ access to irrigation and helped them diversify and intensify production of rice, maize, and high-value vegetables. In addition to irrigation support, farmers also received training on the use of water from irrigation. Farmers who received irrigation support and training allocated more area for increased productivity, resulting in increased sales. KISAN II also facilitated linking farmer groups with aggregators and rice mill partners to improve farmer sales. Recognizing the challenges faced by farmers in obtaining competitive prices and markets for their produce, KISAN II established a crisis communication mechanism, which facilitated direct communication between farmer groups and traders, helping farmers access alternative markets during peak production seasons. At the firm level, exceptional results are attributable to an increased demand for agri-inputs linked to the expanded cultivation areas associated with targeted commodities. Several agrovets have also started to deploy commission-based sales agents to the field. Meanwhile, rice millers began operating on a low inventory model, in which they procure and process paddy only after they receive orders from their buyers. KISAN II partnered with larger firms, increasing the average sales, of which 94 percent came from small and medium enterprises and the remainder came from microenterprises. The FY 2024 target has been set low because KII and NSAF will end in FY 2024. The newly awarded Agriculture Inputs and other FTF activities that are currently under procurement will contribute at a broadly similar scale in FY 2024 and beyond.</w:t>
      </w:r>
    </w:p>
    <w:bookmarkStart w:id="83" w:name="X317d926b3da9b3d03ebd9c3b86ec214e3f21e20"/>
    <w:p>
      <w:pPr>
        <w:pStyle w:val="Heading4"/>
      </w:pPr>
      <w:r>
        <w:t xml:space="preserve">Enter USAID Nepal’s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806be5c3852f17b90a9832e842267f6af87a688"/>
    <w:p>
      <w:pPr>
        <w:pStyle w:val="Heading4"/>
      </w:pPr>
      <w:r>
        <w:t xml:space="preserve">Enter USAID Nepal’s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indicator is reported as an aggregate figure derived from the disaggregates reported by FtF funded activities. The two flagship activities KISAN II and NSAF reported results for this indicator in FY 2023. FY 2023 Target= $0.53 FY 2023 Actual = $0.41 FY 2024 Target = $0.95 FY 2025 Target = TBD The FY 2023 results were 77 percent of the year’s target. In FY 2023, more females received agriculture loans; however, the value of loan was smaller compared to the loan taken by male participants. Women were found to be less active in commercial production and were also less likely to take loans and bear financial risk due to the increased rates on deposits as a result of the severe liquidity crunch in the first half of FY 2022/23. This liquidity crunch forced Nepal Rastra Bank to increase interest rates on deposits as well as lending. Both KISAN II and NSAF will end in FY 2024 but the newly awarded Agricultural Inputs activity will contribute to this indicator and have set outyear targets.</w:t>
      </w:r>
    </w:p>
    <w:bookmarkStart w:id="86" w:name="X7638af23344845322be4b0ebe3160b95723869e"/>
    <w:p>
      <w:pPr>
        <w:pStyle w:val="Heading4"/>
      </w:pPr>
      <w:r>
        <w:t xml:space="preserve">Enter USAID Nepal’s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c18545a9dbc31806ba29b184f5d6023693912df"/>
    <w:p>
      <w:pPr>
        <w:pStyle w:val="Heading4"/>
      </w:pPr>
      <w:r>
        <w:t xml:space="preserve">Enter USAID Nepal’s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Start w:id="91"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indicator is reported as an aggregate figure of results reported by FtF funded activities. FY 2023 Target= 19,327 FY 2023 Actual = 23,870 FY 2024 Target = 19,000 FY 2025 Target = TBD In FY 2023 Mission exceeded its target of 19,327 (Actual: 23,870). Deviation was mainly due to KISAN II over achieving its target. Through its partnership with 24 private sector partners, KISAN II promoted new technologies, innovations, and improved practices that facilitate commercial agriculture. Adverse impacts from unexpected rains during rice and vegetables harvesting in December 2022 were not evident in 2023. FY 2023 proved to be more favorable for agriculture and farmers sought to recover last year’s losses by increasing their production area and applying improved management practices and technologies. In addition, normalization of supply chains and improved market linkages with farmer’s confidence contributed to larger production areas. KISAN II partners also worked with farmers, enabling them to cultivate larger areas of rice and maize than anticipated. The outyear targets have been set low mainly because KISAN II and NSAF which are the major contributors will come to a close in FY 2024. The newly awarded Agricultural Inputs activity will contribute to results in FY 2024 and outyears.</w:t>
      </w:r>
    </w:p>
    <w:bookmarkStart w:id="89" w:name="X6937e6db5dc2ac1d475e95f1a0cb6a87d735691"/>
    <w:p>
      <w:pPr>
        <w:pStyle w:val="Heading4"/>
      </w:pPr>
      <w:r>
        <w:t xml:space="preserve">Enter USAID Nepal’s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9"/>
    <w:bookmarkStart w:id="90" w:name="X37454040d7384730d89b04acb02baec46c26cbc"/>
    <w:p>
      <w:pPr>
        <w:pStyle w:val="Heading4"/>
      </w:pPr>
      <w:r>
        <w:t xml:space="preserve">Enter USAID Nepal’s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0"/>
    <w:bookmarkEnd w:id="91"/>
    <w:bookmarkStart w:id="94"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indicator is reported as an aggregate figure of results reported by FtF funded activities. FY 2023 Target= 19,327 FY 2023 Actual = 23,870 FY 2024 Target = 19,000 FY 2025 Target = TBD In FY 2023 Mission exceeded its target of 19,327 (Actual: 23,870). Deviation was mainly due to KISAN II over achieving its target. Through its partnership with 24 private sector partners, KISAN II promoted new technologies, innovations, and improved practices that facilitate commercial agriculture. Adverse impacts from unexpected rains during rice and vegetables harvesting in December 2022 were not evident in 2023. FY 2023 proved to be more favorable for agriculture and farmers sought to recover last year’s losses by increasing their production area and applying improved management practices and technologies. In addition, normalization of supply chains and improved market linkages with farmer’s confidence contributed to larger production areas. KISAN II partners also worked with farmers, enabling them to cultivate larger areas of rice and maize than anticipated. The outyear targets have been set low mainly because KISAN II and NSAF which are the major contributors will come to a close in FY 2024. The newly awarded Agricultural Inputs activity will contribute to results in FY 2024 and outyears.</w:t>
      </w:r>
    </w:p>
    <w:bookmarkStart w:id="92" w:name="X8f77038da45a7193360bbb95d389f5a20bf6153"/>
    <w:p>
      <w:pPr>
        <w:pStyle w:val="Heading4"/>
      </w:pPr>
      <w:r>
        <w:t xml:space="preserve">Enter USAID Nepal’s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92"/>
    <w:bookmarkStart w:id="93" w:name="X1b98d578c8bdd64ba0fb051641ec8cf9eee5705"/>
    <w:p>
      <w:pPr>
        <w:pStyle w:val="Heading4"/>
      </w:pPr>
      <w:r>
        <w:t xml:space="preserve">Enter USAID Nepal’s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3"/>
    <w:bookmarkEnd w:id="94"/>
    <w:bookmarkEnd w:id="9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Nepal</dc:title>
  <dc:creator/>
  <cp:keywords/>
  <dcterms:created xsi:type="dcterms:W3CDTF">2024-05-21T21:56:15Z</dcterms:created>
  <dcterms:modified xsi:type="dcterms:W3CDTF">2024-05-21T21:56:15Z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