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Tajikistan</w:t>
      </w:r>
    </w:p>
    <w:p>
      <w:pPr>
        <w:pStyle w:val="FirstParagraph"/>
      </w:pPr>
      <w:r>
        <w:t xml:space="preserve">This Feed the Future (FTF) Performance Scorecard assesses the USAID Tajikistan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jikistan%20(TAJI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jikistan%20(TAJI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Tajikistan.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jikistan%20(TAJI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jikistan%20(TAJI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$2,910,000.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jikistan%20(TAJI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jikistan%20(TAJI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2 IMs/Activities that reported all four sex disaggregates needed to contribute to PT2. The total value of financing among all activities, regardless of disaggregates, was $490,000 (EG.3.2-27 total), with $490,000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jikistan%20(TAJI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jikistan%20(TAJI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7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jikistan%20(TAJI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jikistan%20(TAJI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Tajikistan had 3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jikistan%20(TAJI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jikistan%20(TAJI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Tajikistan.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jikistan%20(TAJI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Tajikistan%20(TAJIKIST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Tajikistan%20(TAJIKIST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Tajikistan (TAJIKISTAN)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55"/>
        <w:gridCol w:w="630"/>
        <w:gridCol w:w="3240"/>
        <w:gridCol w:w="900"/>
        <w:gridCol w:w="495"/>
        <w:gridCol w:w="1395"/>
        <w:gridCol w:w="40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72011518C00004</w:t>
            </w:r>
          </w:p>
        </w:tc>
        <w:tc>
          <w:tcPr/>
          <w:p>
            <w:pPr>
              <w:pStyle w:val="Compact"/>
              <w:jc w:val="right"/>
            </w:pPr>
            <w:r>
              <w:t xml:space="preserve">1506</w:t>
            </w:r>
          </w:p>
        </w:tc>
        <w:tc>
          <w:tcPr/>
          <w:p>
            <w:pPr>
              <w:pStyle w:val="Compact"/>
              <w:jc w:val="left"/>
            </w:pPr>
            <w:r>
              <w:t xml:space="preserve">Agribusiness Competitiveness Activity in Tajikistan</w:t>
            </w:r>
          </w:p>
        </w:tc>
        <w:tc>
          <w:tcPr/>
          <w:p>
            <w:pPr>
              <w:pStyle w:val="Compact"/>
              <w:jc w:val="left"/>
            </w:pPr>
            <w:r>
              <w:t xml:space="preserve">NA</w:t>
            </w:r>
          </w:p>
        </w:tc>
        <w:tc>
          <w:tcPr/>
          <w:p>
            <w:pPr>
              <w:pStyle w:val="Compact"/>
              <w:jc w:val="left"/>
            </w:pPr>
            <w:r>
              <w:t xml:space="preserve">$1,621,067</w:t>
            </w:r>
          </w:p>
        </w:tc>
        <w:tc>
          <w:tcPr/>
          <w:p>
            <w:pPr>
              <w:pStyle w:val="Compact"/>
              <w:jc w:val="left"/>
            </w:pPr>
            <w:r>
              <w:t xml:space="preserve">NA</w:t>
            </w:r>
          </w:p>
        </w:tc>
        <w:tc>
          <w:tcPr/>
          <w:p>
            <w:pPr>
              <w:pStyle w:val="Compact"/>
              <w:jc w:val="left"/>
            </w:pPr>
            <w:r>
              <w:t xml:space="preserve">$701,150</w:t>
            </w:r>
          </w:p>
        </w:tc>
      </w:tr>
      <w:tr>
        <w:tc>
          <w:tcPr/>
          <w:p>
            <w:pPr>
              <w:pStyle w:val="Compact"/>
              <w:jc w:val="left"/>
            </w:pPr>
            <w:r>
              <w:t xml:space="preserve">7200AA18D00020</w:t>
            </w:r>
          </w:p>
        </w:tc>
        <w:tc>
          <w:tcPr/>
          <w:p>
            <w:pPr>
              <w:pStyle w:val="Compact"/>
              <w:jc w:val="right"/>
            </w:pPr>
            <w:r>
              <w:t xml:space="preserve">1509</w:t>
            </w:r>
          </w:p>
        </w:tc>
        <w:tc>
          <w:tcPr/>
          <w:p>
            <w:pPr>
              <w:pStyle w:val="Compact"/>
              <w:jc w:val="left"/>
            </w:pPr>
            <w:r>
              <w:t xml:space="preserve">Feed the Future Tajikistan Agriculture and Land Governance</w:t>
            </w:r>
          </w:p>
        </w:tc>
        <w:tc>
          <w:tcPr/>
          <w:p>
            <w:pPr>
              <w:pStyle w:val="Compact"/>
              <w:jc w:val="left"/>
            </w:pPr>
            <w:r>
              <w:t xml:space="preserve">-$1,149,999</w:t>
            </w:r>
          </w:p>
        </w:tc>
        <w:tc>
          <w:tcPr/>
          <w:p>
            <w:pPr>
              <w:pStyle w:val="Compact"/>
              <w:jc w:val="left"/>
            </w:pPr>
            <w:r>
              <w:t xml:space="preserve">$1,139,841</w:t>
            </w:r>
          </w:p>
        </w:tc>
        <w:tc>
          <w:tcPr/>
          <w:p>
            <w:pPr>
              <w:pStyle w:val="Compact"/>
              <w:jc w:val="left"/>
            </w:pPr>
            <w:r>
              <w:t xml:space="preserve">152</w:t>
            </w:r>
          </w:p>
        </w:tc>
        <w:tc>
          <w:tcPr/>
          <w:p>
            <w:pPr>
              <w:pStyle w:val="Compact"/>
              <w:jc w:val="left"/>
            </w:pPr>
            <w:r>
              <w:t xml:space="preserve">$668,809</w:t>
            </w:r>
          </w:p>
        </w:tc>
      </w:tr>
      <w:tr>
        <w:tc>
          <w:tcPr/>
          <w:p>
            <w:pPr>
              <w:pStyle w:val="Compact"/>
              <w:jc w:val="left"/>
            </w:pPr>
            <w:r>
              <w:t xml:space="preserve">!! Not reported !!</w:t>
            </w:r>
          </w:p>
        </w:tc>
        <w:tc>
          <w:tcPr/>
          <w:p>
            <w:pPr>
              <w:pStyle w:val="Compact"/>
              <w:jc w:val="right"/>
            </w:pPr>
            <w:r>
              <w:t xml:space="preserve">6469</w:t>
            </w:r>
          </w:p>
        </w:tc>
        <w:tc>
          <w:tcPr/>
          <w:p>
            <w:pPr>
              <w:pStyle w:val="Compact"/>
              <w:jc w:val="left"/>
            </w:pPr>
            <w:r>
              <w:t xml:space="preserve">Market Driven Rural Development</w:t>
            </w:r>
          </w:p>
        </w:tc>
        <w:tc>
          <w:tcPr/>
          <w:p>
            <w:pPr>
              <w:pStyle w:val="Compact"/>
              <w:jc w:val="left"/>
            </w:pPr>
            <w:r>
              <w:t xml:space="preserve">NA</w:t>
            </w:r>
          </w:p>
        </w:tc>
        <w:tc>
          <w:tcPr/>
          <w:p>
            <w:pPr>
              <w:pStyle w:val="Compact"/>
              <w:jc w:val="left"/>
            </w:pPr>
            <w:r>
              <w:t xml:space="preserve">$153,284</w:t>
            </w:r>
          </w:p>
        </w:tc>
        <w:tc>
          <w:tcPr/>
          <w:p>
            <w:pPr>
              <w:pStyle w:val="Compact"/>
              <w:jc w:val="left"/>
            </w:pPr>
            <w:r>
              <w:t xml:space="preserve">NA</w:t>
            </w:r>
          </w:p>
        </w:tc>
        <w:tc>
          <w:tcPr/>
          <w:p>
            <w:pPr>
              <w:pStyle w:val="Compact"/>
              <w:jc w:val="left"/>
            </w:pPr>
            <w:r>
              <w:t xml:space="preserve">$71,036</w:t>
            </w:r>
          </w:p>
        </w:tc>
      </w:tr>
      <w:tr>
        <w:tc>
          <w:tcPr/>
          <w:p>
            <w:pPr>
              <w:pStyle w:val="Compact"/>
              <w:jc w:val="left"/>
            </w:pPr>
            <w:r>
              <w:t xml:space="preserve">!! Not reported !!</w:t>
            </w:r>
          </w:p>
        </w:tc>
        <w:tc>
          <w:tcPr/>
          <w:p>
            <w:pPr>
              <w:pStyle w:val="Compact"/>
              <w:jc w:val="right"/>
            </w:pPr>
            <w:r>
              <w:t xml:space="preserve">1510</w:t>
            </w:r>
          </w:p>
        </w:tc>
        <w:tc>
          <w:tcPr/>
          <w:p>
            <w:pPr>
              <w:pStyle w:val="Compact"/>
              <w:jc w:val="left"/>
            </w:pPr>
            <w:r>
              <w:t xml:space="preserve">53380: Feed the Future Tajikistan Agriculture and Water Activity (TAWA)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TJK.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Tajikistan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Tajikistan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FY23 target was not met. Only one activity reporting this indicator, ALG. However, the target for this indicator was set in Y1 based on projected rates of adoption from farmer field school training and irrigation infrastructure rehabilitation works. During FY 2023, the Activity changed from activity-led training to private sector-led Farmer Field Days, where local input suppliers provided instruction to over 12,000 (unique) farmers; all of whom reported adopting one or more of the new practices/technologies on their agriculture lands (10,834 hectares) based on the annual survey. The Activity also supported the improvement or establishment of 168 hectares of new orchards or vineyards in FY 2023. The Activity also completed the second round of food security input distributions to 25,000 vulnerable households. Based on the annual survey 12,572 households reported adopting new practices (either planting techniques, timing or use of fertilizer), however as each household only received inputs for up to 0.02 ha this had minimal impact on the indicator with 33 hectares under improved management. Furthermore, the Activity’s adoption of household level poultry, rabbit breeding and mushroom production do not contribute hectares; and due to the funding constraints, the Activity was asked to discontinue any irrigation infrastructure rehabilitation work in FY 2023. Hence, while the Activity exceeded the targets for individual adoption rates (EG3.2-24) of new practices, it fell slightly short of the expected hectares as not all project activities contribute to hectares under new management practices.</w:t>
      </w:r>
    </w:p>
    <w:bookmarkStart w:id="83" w:name="X4bc66043af18b5bdf4603ff01e6b43abeb0268d"/>
    <w:p>
      <w:pPr>
        <w:pStyle w:val="Heading4"/>
      </w:pPr>
      <w:r>
        <w:t xml:space="preserve">Enter USAID Tajikistan’s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c7b0537ec93b937da43d3f6c134c82de0cc12d2"/>
    <w:p>
      <w:pPr>
        <w:pStyle w:val="Heading4"/>
      </w:pPr>
      <w:r>
        <w:t xml:space="preserve">Enter USAID Tajikistan’s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Tajikistan</dc:title>
  <dc:creator/>
  <cp:keywords/>
  <dcterms:created xsi:type="dcterms:W3CDTF">2024-05-21T21:57:19Z</dcterms:created>
  <dcterms:modified xsi:type="dcterms:W3CDTF">2024-05-21T21:57:19Z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