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Zambia</w:t>
      </w:r>
    </w:p>
    <w:p>
      <w:pPr>
        <w:pStyle w:val="FirstParagraph"/>
      </w:pPr>
      <w:r>
        <w:t xml:space="preserve">This Feed the Future (FTF) Performance Scorecard assesses the USAID Zambia progress toward FY 2030 Performance Targets.</w:t>
      </w:r>
    </w:p>
    <w:bookmarkStart w:id="92"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Zambia%20(ZAMBI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Zambia%20(ZAMBI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Zambia.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Zambia%20(ZAMBI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Zambia%20(ZAMBI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Zambia had 3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2 contributed to the sales total of $57,460,000.</w:t>
      </w:r>
      <w:r>
        <w:br/>
      </w:r>
      <w:r>
        <w:t xml:space="preserve">Note that while USAID Zambia was</w:t>
      </w:r>
      <w:r>
        <w:t xml:space="preserve"> </w:t>
      </w:r>
      <w:r>
        <w:t xml:space="preserve">‘</w:t>
      </w:r>
      <w:r>
        <w:t xml:space="preserve">On track</w:t>
      </w:r>
      <w:r>
        <w:t xml:space="preserve">’</w:t>
      </w:r>
      <w:r>
        <w:t xml:space="preserve"> </w:t>
      </w:r>
      <w:r>
        <w:t xml:space="preserve">in FY23, it expects a substantial decrease in FY24. Such an increase would make it</w:t>
      </w:r>
      <w:r>
        <w:t xml:space="preserve"> </w:t>
      </w:r>
      <w:r>
        <w:t xml:space="preserve">‘</w:t>
      </w:r>
      <w:r>
        <w:t xml:space="preserve">Not on track</w:t>
      </w:r>
      <w:r>
        <w:t xml:space="preserve">’</w:t>
      </w:r>
      <w:r>
        <w:t xml:space="preserve"> </w:t>
      </w:r>
      <w:r>
        <w:t xml:space="preserve">for this performance indicator.</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Zambia%20(ZAMBI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Zambia%20(ZAMBI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Zambia had 2 IMs/Activities that reported all four sex disaggregates needed to contribute to PT2. The total value of financing among all activities, regardless of disaggregates, was $5,780,000 (EG.3.2-27 total), with $5,780,000 that was disaggregated by females and males, and an additional $5,810,000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Zambia%20(ZAMBI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Zambia%20(ZAMBI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Zambia had 10 activities that aligned the indicator for hectares under improved management practices (EG.3.2-25). Of those activities, 2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Zambia%20(ZAMBI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Zambia%20(ZAMBI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USAID Zambia had 1 activity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1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Zambia%20(ZAMBI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Zambia%20(ZAMBI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Zambia.</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Zambia%20(ZAMBI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Zambia%20(ZAMBIA)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Zambia%20(ZAMBIA)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10 in the USAID Zambia (ZAMBIA) portfolio) that have the highest level of FY 2023 annual disbursements and highest reported values for the relevant indicators.</w:t>
      </w:r>
      <w:r>
        <w:t xml:space="preserve"> </w:t>
      </w:r>
      <w:r>
        <w:t xml:space="preserve">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688"/>
        <w:gridCol w:w="602"/>
        <w:gridCol w:w="5122"/>
        <w:gridCol w:w="817"/>
        <w:gridCol w:w="172"/>
        <w:gridCol w:w="172"/>
        <w:gridCol w:w="172"/>
        <w:gridCol w:w="17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72061120C00006</w:t>
            </w:r>
          </w:p>
        </w:tc>
        <w:tc>
          <w:tcPr/>
          <w:p>
            <w:pPr>
              <w:pStyle w:val="Compact"/>
              <w:jc w:val="right"/>
            </w:pPr>
            <w:r>
              <w:t xml:space="preserve">1713</w:t>
            </w:r>
          </w:p>
        </w:tc>
        <w:tc>
          <w:tcPr/>
          <w:p>
            <w:pPr>
              <w:pStyle w:val="Compact"/>
              <w:jc w:val="left"/>
            </w:pPr>
            <w:r>
              <w:t xml:space="preserve">USAID Enterprise Development Growth Enhanced (EDGE)</w:t>
            </w:r>
          </w:p>
        </w:tc>
        <w:tc>
          <w:tcPr/>
          <w:p>
            <w:pPr>
              <w:pStyle w:val="Compact"/>
              <w:jc w:val="left"/>
            </w:pPr>
            <w:r>
              <w:t xml:space="preserve">$3,145,251</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72061121CA00003</w:t>
            </w:r>
          </w:p>
        </w:tc>
        <w:tc>
          <w:tcPr/>
          <w:p>
            <w:pPr>
              <w:pStyle w:val="Compact"/>
              <w:jc w:val="right"/>
            </w:pPr>
            <w:r>
              <w:t xml:space="preserve">1710</w:t>
            </w:r>
          </w:p>
        </w:tc>
        <w:tc>
          <w:tcPr/>
          <w:p>
            <w:pPr>
              <w:pStyle w:val="Compact"/>
              <w:jc w:val="left"/>
            </w:pPr>
            <w:r>
              <w:t xml:space="preserve">106661: Eastern Kafue Nature Alliance - Health, Ecosystems, and Agriculture for Resilient, Thriving Societies (HEARTH)</w:t>
            </w:r>
          </w:p>
        </w:tc>
        <w:tc>
          <w:tcPr/>
          <w:p>
            <w:pPr>
              <w:pStyle w:val="Compact"/>
              <w:jc w:val="left"/>
            </w:pPr>
            <w:r>
              <w:t xml:space="preserve">$550,973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665"/>
        <w:gridCol w:w="490"/>
        <w:gridCol w:w="4170"/>
        <w:gridCol w:w="700"/>
        <w:gridCol w:w="420"/>
        <w:gridCol w:w="1086"/>
        <w:gridCol w:w="385"/>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72061120C00006</w:t>
            </w:r>
          </w:p>
        </w:tc>
        <w:tc>
          <w:tcPr/>
          <w:p>
            <w:pPr>
              <w:pStyle w:val="Compact"/>
              <w:jc w:val="right"/>
            </w:pPr>
            <w:r>
              <w:t xml:space="preserve">1713</w:t>
            </w:r>
          </w:p>
        </w:tc>
        <w:tc>
          <w:tcPr/>
          <w:p>
            <w:pPr>
              <w:pStyle w:val="Compact"/>
              <w:jc w:val="left"/>
            </w:pPr>
            <w:r>
              <w:t xml:space="preserve">USAID Enterprise Development Growth Enhanced (EDGE)</w:t>
            </w:r>
          </w:p>
        </w:tc>
        <w:tc>
          <w:tcPr/>
          <w:p>
            <w:pPr>
              <w:pStyle w:val="Compact"/>
              <w:jc w:val="left"/>
            </w:pPr>
            <w:r>
              <w:t xml:space="preserve">$3,145,251</w:t>
            </w:r>
          </w:p>
        </w:tc>
        <w:tc>
          <w:tcPr/>
          <w:p>
            <w:pPr>
              <w:pStyle w:val="Compact"/>
              <w:jc w:val="left"/>
            </w:pPr>
            <w:r>
              <w:t xml:space="preserve">$45,140,447</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7200AA18CA00008</w:t>
            </w:r>
          </w:p>
        </w:tc>
        <w:tc>
          <w:tcPr/>
          <w:p>
            <w:pPr>
              <w:pStyle w:val="Compact"/>
              <w:jc w:val="right"/>
            </w:pPr>
            <w:r>
              <w:t xml:space="preserve">2425</w:t>
            </w:r>
          </w:p>
        </w:tc>
        <w:tc>
          <w:tcPr/>
          <w:p>
            <w:pPr>
              <w:pStyle w:val="Compact"/>
              <w:jc w:val="left"/>
            </w:pPr>
            <w:r>
              <w:t xml:space="preserve">Alliance for Inclusive and Nutritious Food Processing (AINFP) -Zambia Buy in</w:t>
            </w:r>
          </w:p>
        </w:tc>
        <w:tc>
          <w:tcPr/>
          <w:p>
            <w:pPr>
              <w:pStyle w:val="Compact"/>
              <w:jc w:val="left"/>
            </w:pPr>
            <w:r>
              <w:t xml:space="preserve">$161,431</w:t>
            </w:r>
          </w:p>
        </w:tc>
        <w:tc>
          <w:tcPr/>
          <w:p>
            <w:pPr>
              <w:pStyle w:val="Compact"/>
              <w:jc w:val="left"/>
            </w:pPr>
            <w:r>
              <w:t xml:space="preserve">$12,317,709</w:t>
            </w:r>
          </w:p>
        </w:tc>
        <w:tc>
          <w:tcPr/>
          <w:p>
            <w:pPr>
              <w:pStyle w:val="Compact"/>
              <w:jc w:val="left"/>
            </w:pPr>
            <w:r>
              <w:t xml:space="preserve">NA</w:t>
            </w:r>
          </w:p>
        </w:tc>
        <w:tc>
          <w:tcPr/>
          <w:p>
            <w:pPr>
              <w:pStyle w:val="Compact"/>
              <w:jc w:val="left"/>
            </w:pPr>
            <w:r>
              <w:t xml:space="preserve">$1,380,865</w:t>
            </w:r>
          </w:p>
        </w:tc>
      </w:tr>
      <w:tr>
        <w:tc>
          <w:tcPr/>
          <w:p>
            <w:pPr>
              <w:pStyle w:val="Compact"/>
              <w:jc w:val="left"/>
            </w:pPr>
            <w:r>
              <w:t xml:space="preserve">!! Not reported !!</w:t>
            </w:r>
          </w:p>
        </w:tc>
        <w:tc>
          <w:tcPr/>
          <w:p>
            <w:pPr>
              <w:pStyle w:val="Compact"/>
              <w:jc w:val="right"/>
            </w:pPr>
            <w:r>
              <w:t xml:space="preserve">5560</w:t>
            </w:r>
          </w:p>
        </w:tc>
        <w:tc>
          <w:tcPr/>
          <w:p>
            <w:pPr>
              <w:pStyle w:val="Compact"/>
              <w:jc w:val="left"/>
            </w:pPr>
            <w:r>
              <w:t xml:space="preserve">Luangwa Livelihood and Conservation Activity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2 480</w:t>
            </w:r>
          </w:p>
        </w:tc>
        <w:tc>
          <w:tcPr/>
          <w:p>
            <w:pPr>
              <w:pStyle w:val="Compact"/>
              <w:jc w:val="left"/>
            </w:pPr>
            <w:r>
              <w:t xml:space="preserve">NA</w:t>
            </w:r>
          </w:p>
        </w:tc>
      </w:tr>
      <w:tr>
        <w:tc>
          <w:tcPr/>
          <w:p>
            <w:pPr>
              <w:pStyle w:val="Compact"/>
              <w:jc w:val="left"/>
            </w:pPr>
            <w:r>
              <w:t xml:space="preserve">72061119C00002</w:t>
            </w:r>
          </w:p>
        </w:tc>
        <w:tc>
          <w:tcPr/>
          <w:p>
            <w:pPr>
              <w:pStyle w:val="Compact"/>
              <w:jc w:val="right"/>
            </w:pPr>
            <w:r>
              <w:t xml:space="preserve">2400</w:t>
            </w:r>
          </w:p>
        </w:tc>
        <w:tc>
          <w:tcPr/>
          <w:p>
            <w:pPr>
              <w:pStyle w:val="Compact"/>
              <w:jc w:val="left"/>
            </w:pPr>
            <w:r>
              <w:t xml:space="preserve">Scaling Up Nutrition Technical Assistance</w:t>
            </w:r>
          </w:p>
        </w:tc>
        <w:tc>
          <w:tcPr/>
          <w:p>
            <w:pPr>
              <w:pStyle w:val="Compact"/>
              <w:jc w:val="left"/>
            </w:pPr>
            <w:r>
              <w:t xml:space="preserve">$353,780</w:t>
            </w:r>
          </w:p>
        </w:tc>
        <w:tc>
          <w:tcPr/>
          <w:p>
            <w:pPr>
              <w:pStyle w:val="Compact"/>
              <w:jc w:val="left"/>
            </w:pPr>
            <w:r>
              <w:t xml:space="preserve">NA</w:t>
            </w:r>
          </w:p>
        </w:tc>
        <w:tc>
          <w:tcPr/>
          <w:p>
            <w:pPr>
              <w:pStyle w:val="Compact"/>
              <w:jc w:val="left"/>
            </w:pPr>
            <w:r>
              <w:t xml:space="preserve">1 964</w:t>
            </w:r>
          </w:p>
        </w:tc>
        <w:tc>
          <w:tcPr/>
          <w:p>
            <w:pPr>
              <w:pStyle w:val="Compact"/>
              <w:jc w:val="left"/>
            </w:pPr>
            <w:r>
              <w:t xml:space="preserve">NA</w:t>
            </w:r>
          </w:p>
        </w:tc>
      </w:tr>
      <w:tr>
        <w:tc>
          <w:tcPr/>
          <w:p>
            <w:pPr>
              <w:pStyle w:val="Compact"/>
              <w:jc w:val="left"/>
            </w:pPr>
            <w:r>
              <w:t xml:space="preserve">72061120CA00004</w:t>
            </w:r>
          </w:p>
        </w:tc>
        <w:tc>
          <w:tcPr/>
          <w:p>
            <w:pPr>
              <w:pStyle w:val="Compact"/>
              <w:jc w:val="right"/>
            </w:pPr>
            <w:r>
              <w:t xml:space="preserve">1707</w:t>
            </w:r>
          </w:p>
        </w:tc>
        <w:tc>
          <w:tcPr/>
          <w:p>
            <w:pPr>
              <w:pStyle w:val="Compact"/>
              <w:jc w:val="left"/>
            </w:pPr>
            <w:r>
              <w:t xml:space="preserve">Emerging Farmers Partnership (EFP)</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72061121CA00003</w:t>
            </w:r>
          </w:p>
        </w:tc>
        <w:tc>
          <w:tcPr/>
          <w:p>
            <w:pPr>
              <w:pStyle w:val="Compact"/>
              <w:jc w:val="right"/>
            </w:pPr>
            <w:r>
              <w:t xml:space="preserve">1710</w:t>
            </w:r>
          </w:p>
        </w:tc>
        <w:tc>
          <w:tcPr/>
          <w:p>
            <w:pPr>
              <w:pStyle w:val="Compact"/>
              <w:jc w:val="left"/>
            </w:pPr>
            <w:r>
              <w:t xml:space="preserve">106661: Eastern Kafue Nature Alliance - Health, Ecosystems, and Agriculture for Resilient, Thriving Societies (HEARTH)</w:t>
            </w:r>
          </w:p>
        </w:tc>
        <w:tc>
          <w:tcPr/>
          <w:p>
            <w:pPr>
              <w:pStyle w:val="Compact"/>
              <w:jc w:val="left"/>
            </w:pPr>
            <w:r>
              <w:t xml:space="preserve">$550,973</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ZMB.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Zambia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Zambia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81"/>
    <w:bookmarkEnd w:id="82"/>
    <w:bookmarkStart w:id="85" w:name="Xd3d8d6371966079386b3ab254a139384d93ee67"/>
    <w:p>
      <w:pPr>
        <w:pStyle w:val="Heading2"/>
      </w:pPr>
      <w:r>
        <w:t xml:space="preserve">Performance Target 2: Gender financing ratio [Not on Track]</w:t>
      </w:r>
    </w:p>
    <w:p>
      <w:pPr>
        <w:pStyle w:val="FirstParagraph"/>
      </w:pPr>
      <w:r>
        <w:rPr>
          <w:iCs/>
          <w:i/>
        </w:rPr>
        <w:t xml:space="preserve">Excerpt from FY23 KIN Section 4 to consider:</w:t>
      </w:r>
      <w:r>
        <w:t xml:space="preserve"> </w:t>
      </w:r>
      <w:r>
        <w:t xml:space="preserve">target was unmet in Fiscal Year 2023. Despite many successes in increasing access to finance through support to Community Savings and Loans Groups (CSLGs) and SMEs, women still lag behind men in access to finance as larger loans to men-owned businesses overtook many of the small loans that women received through CSLGs. Women still face many difficulties in accessing loans from larger financial institutions, including lack the skills to financially manage businesses and low access to productive assets that can be used for loan collateral. This year, women slightly underperformed men ($0.98 per $1.00 loaned, compared to $) despite the met goal of almost 25% more loans to women, as compared to men this year. Through USAID-supported CSLGs, more than 80% of the over 86 thousand participants are women, but loan amounts were small, negatively affecting this indicator. USAID-supported women’s savings groups in Eastern Province were linked to the Farmers Out-grower Foundation, helping to expand the reach and formalization of investments by CSLGs. Through this partnership, women’s savings groups are assured of ready supply of inputs for production as well as markets for the final product, which has been one of the biggest challenges that SMEs face (especially women from rural areas). USAID also supported more formal out-grower schemes this year by connecting CLGSs with a private sector partner that supplied training, fertilizer, and seeds, and a guaranteed market for their produce. Even with these efforts and successes, challenges remain in providing more loans to women, and USAID/Zambia’s loan support programming must adapt to address this challenge. Over the next two Fiscal Years, USAID Zambia expects a reduction in the loan partly due to the closure of two programs that support finance. Successful loans under the CSLGs (which strongly favors female borrowers) will be reduced as FtF Zambia closes the program that supported this effort. A new bilateral program will provide support to CSLGs in the new FtF ZOI, but the award will not start until August 2024. As such, success on this target for the next two fiscal years will be reduced in gender parity to closer to 1:1.</w:t>
      </w:r>
    </w:p>
    <w:bookmarkStart w:id="83" w:name="X95320b8cb8db71936f0d23fe10de4d75395b515"/>
    <w:p>
      <w:pPr>
        <w:pStyle w:val="Heading4"/>
      </w:pPr>
      <w:r>
        <w:t xml:space="preserve">Enter USAID Zambia’s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3"/>
    <w:bookmarkStart w:id="84" w:name="Xcb51a021060b910c3131019f20e6d13aa776371"/>
    <w:p>
      <w:pPr>
        <w:pStyle w:val="Heading4"/>
      </w:pPr>
      <w:r>
        <w:t xml:space="preserve">Enter USAID Zambia’s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4"/>
    <w:bookmarkEnd w:id="85"/>
    <w:bookmarkStart w:id="88"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t xml:space="preserve"> </w:t>
      </w:r>
      <w:r>
        <w:t xml:space="preserve">Zambia’s FtF program exceeded the target for land under improved climate adaptation and risk management practices, through growth of programming with private companies, including support to increase the number of smallholder farmers, and expansion of climate smart agricultural practices and value chains. Two USAID conservation-oriented activities contributed to achieving success this year. Increased investment in climate-friendly honey, cowpea, groundnuts, soybeans value chains (among others) helped to increase soil fertility and increase production. Support for agroforestry production systems helped to create a sustainable, productive landscape that met several conservation and livelihood goals by connecting fragmented forests and creating corridors for wildlife movement. Support to lead and follower farmers programs also led to increased production of nutritious food in vulnerable communities this year. An increased area under improved management fulfills multiple productive goals, improves livelihoods and helps to maintain the integrity of iconic Zambian landscapes. Growing partnerships with the private sector was key this year to this success. The development of new partnerships with private sector-run outgrower schemes helped contribute to higher areas of land under conservation agriculture than anticipated as new projects hit a two year milestone. As new work continues under these programs and new ones come online in Fiscal Year 2024, we expect a moderate level of performance on this indicator, roughly in line with the 2023 FY target. New partnerships were very successful in achieving this target this year, but we do not expect similar results over the next two years.</w:t>
      </w:r>
    </w:p>
    <w:bookmarkStart w:id="86" w:name="Xea30386523563bffb00eae03d0c2c5cfd0b0f45"/>
    <w:p>
      <w:pPr>
        <w:pStyle w:val="Heading4"/>
      </w:pPr>
      <w:r>
        <w:t xml:space="preserve">Enter USAID Zambia’s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6"/>
    <w:bookmarkStart w:id="87" w:name="X891335e6e143e0f0172676dbb999846515259eb"/>
    <w:p>
      <w:pPr>
        <w:pStyle w:val="Heading4"/>
      </w:pPr>
      <w:r>
        <w:t xml:space="preserve">Enter USAID Zambia’s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7"/>
    <w:bookmarkEnd w:id="88"/>
    <w:bookmarkStart w:id="91" w:name="X211d087b134805966d5524abe3f0c60c6f4d7eb"/>
    <w:p>
      <w:pPr>
        <w:pStyle w:val="Heading2"/>
      </w:pPr>
      <w:r>
        <w:t xml:space="preserve">Performance Target 4: Private sector investment [Not on Track]</w:t>
      </w:r>
    </w:p>
    <w:p>
      <w:pPr>
        <w:pStyle w:val="FirstParagraph"/>
      </w:pPr>
      <w:r>
        <w:rPr>
          <w:iCs/>
          <w:i/>
        </w:rPr>
        <w:t xml:space="preserve">Excerpt from FY23 KIN Section 4 to consider:</w:t>
      </w:r>
      <w:r>
        <w:t xml:space="preserve"> </w:t>
      </w:r>
      <w:r>
        <w:t xml:space="preserve">Zambia’s FtF program exceeded the target for land under improved climate adaptation and risk management practices, through growth of programming with private companies, including support to increase the number of smallholder farmers, and expansion of climate smart agricultural practices and value chains. Two USAID conservation-oriented activities contributed to achieving success this year. Increased investment in climate-friendly honey, cowpea, groundnuts, soybeans value chains (among others) helped to increase soil fertility and increase production. Support for agroforestry production systems helped to create a sustainable, productive landscape that met several conservation and livelihood goals by connecting fragmented forests and creating corridors for wildlife movement. Support to lead and follower farmers programs also led to increased production of nutritious food in vulnerable communities this year. An increased area under improved management fulfills multiple productive goals, improves livelihoods and helps to maintain the integrity of iconic Zambian landscapes. Growing partnerships with the private sector was key this year to this success. The development of new partnerships with private sector-run outgrower schemes helped contribute to higher areas of land under conservation agriculture than anticipated as new projects hit a two year milestone. As new work continues under these programs and new ones come online in Fiscal Year 2024, we expect a moderate level of performance on this indicator, roughly in line with the 2023 FY target. New partnerships were very successful in achieving this target this year, but we do not expect similar results over the next two years.</w:t>
      </w:r>
    </w:p>
    <w:bookmarkStart w:id="89" w:name="X1ae0f054d0b75277be25ee6c7feceba1ebb1508"/>
    <w:p>
      <w:pPr>
        <w:pStyle w:val="Heading4"/>
      </w:pPr>
      <w:r>
        <w:t xml:space="preserve">Enter USAID Zambia’s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9"/>
    <w:bookmarkStart w:id="90" w:name="Xe3e8ff975139aa6587181348333abd30b4444a1"/>
    <w:p>
      <w:pPr>
        <w:pStyle w:val="Heading4"/>
      </w:pPr>
      <w:r>
        <w:t xml:space="preserve">Enter USAID Zambia’s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90"/>
    <w:bookmarkEnd w:id="91"/>
    <w:bookmarkEnd w:id="92"/>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Zambia</dc:title>
  <dc:creator/>
  <cp:keywords/>
  <dcterms:created xsi:type="dcterms:W3CDTF">2024-05-21T21:57:42Z</dcterms:created>
  <dcterms:modified xsi:type="dcterms:W3CDTF">2024-05-21T21:57:42Z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