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Afghanistan</w:t>
      </w:r>
    </w:p>
    <w:p>
      <w:pPr>
        <w:pStyle w:val="FirstParagraph"/>
      </w:pPr>
      <w:r>
        <w:t xml:space="preserve">This Feed the Future (FTF) Performance Scorecard assesses the Afghanistan progress toward FY 2030 Performance Targets.</w:t>
      </w:r>
    </w:p>
    <w:bookmarkStart w:id="8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Afghanistan%20(OIGAFG)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Afghanistan%20(OIGAFG)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Afghanistan.</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Afghanistan%20(OIGAFG)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Afghanistan%20(OIGAFG)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Afghanistan had 6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0 contributed to the sales total of NA.</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Afghanistan%20(OIGAFG)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Afghanistan%20(OIGAFG)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Afghanistan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Afghanistan%20(OIGAFG)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Afghanistan%20(OIGAFG)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Afghanistan had 1 activities that aligned the indicator for hectares under improved management practices (EG.3.2-25). Of those activities, 0 reported on the ’’ 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Afghanistan%20(OIGAFG)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Afghanistan%20(OIGAFG)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USAID Afghanistan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Afghanistan%20(OIGAFG)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Afghanistan%20(OIGAFG)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Afghanistan.</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Afghanistan%20(OIGAFG)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Afghanistan%20(OIGAFG)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Afghanistan%20(OIGAFG)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1 activities (out of the total 1 in the Afghanistan (OIG/AFG)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015"/>
        <w:gridCol w:w="947"/>
        <w:gridCol w:w="3587"/>
        <w:gridCol w:w="1286"/>
        <w:gridCol w:w="270"/>
        <w:gridCol w:w="270"/>
        <w:gridCol w:w="270"/>
        <w:gridCol w:w="270"/>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72030618C00011</w:t>
            </w:r>
          </w:p>
        </w:tc>
        <w:tc>
          <w:tcPr/>
          <w:p>
            <w:pPr>
              <w:pStyle w:val="Compact"/>
              <w:jc w:val="right"/>
            </w:pPr>
            <w:r>
              <w:t xml:space="preserve">1572</w:t>
            </w:r>
          </w:p>
        </w:tc>
        <w:tc>
          <w:tcPr/>
          <w:p>
            <w:pPr>
              <w:pStyle w:val="Compact"/>
              <w:jc w:val="left"/>
            </w:pPr>
            <w:r>
              <w:t xml:space="preserve">103513: Afghanistan Value Chains – Livestock (AVC-L)</w:t>
            </w:r>
          </w:p>
        </w:tc>
        <w:tc>
          <w:tcPr/>
          <w:p>
            <w:pPr>
              <w:pStyle w:val="Compact"/>
              <w:jc w:val="left"/>
            </w:pPr>
            <w:r>
              <w:t xml:space="preserve">$3,734,805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983"/>
        <w:gridCol w:w="688"/>
        <w:gridCol w:w="4328"/>
        <w:gridCol w:w="983"/>
        <w:gridCol w:w="295"/>
        <w:gridCol w:w="442"/>
        <w:gridCol w:w="19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 Not reported !!</w:t>
            </w:r>
          </w:p>
        </w:tc>
        <w:tc>
          <w:tcPr/>
          <w:p>
            <w:pPr>
              <w:pStyle w:val="Compact"/>
              <w:jc w:val="right"/>
            </w:pPr>
            <w:r>
              <w:t xml:space="preserve">1576</w:t>
            </w:r>
          </w:p>
        </w:tc>
        <w:tc>
          <w:tcPr/>
          <w:p>
            <w:pPr>
              <w:pStyle w:val="Compact"/>
              <w:jc w:val="left"/>
            </w:pPr>
            <w:r>
              <w:t xml:space="preserve">100746: Commercial Horticulture and Agriculture Marketing Program (CHAMP) 2nd Extension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AID-306-IO-17-00005</w:t>
            </w:r>
          </w:p>
        </w:tc>
        <w:tc>
          <w:tcPr/>
          <w:p>
            <w:pPr>
              <w:pStyle w:val="Compact"/>
              <w:jc w:val="right"/>
            </w:pPr>
            <w:r>
              <w:t xml:space="preserve">1578</w:t>
            </w:r>
          </w:p>
        </w:tc>
        <w:tc>
          <w:tcPr/>
          <w:p>
            <w:pPr>
              <w:pStyle w:val="Compact"/>
              <w:jc w:val="left"/>
            </w:pPr>
            <w:r>
              <w:t xml:space="preserve">103505: Promoting Value Chains - West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1574</w:t>
            </w:r>
          </w:p>
        </w:tc>
        <w:tc>
          <w:tcPr/>
          <w:p>
            <w:pPr>
              <w:pStyle w:val="Compact"/>
              <w:jc w:val="left"/>
            </w:pPr>
            <w:r>
              <w:t xml:space="preserve">103510: Agriculture Marketing Program (AMP)</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1571</w:t>
            </w:r>
          </w:p>
        </w:tc>
        <w:tc>
          <w:tcPr/>
          <w:p>
            <w:pPr>
              <w:pStyle w:val="Compact"/>
              <w:jc w:val="left"/>
            </w:pPr>
            <w:r>
              <w:t xml:space="preserve">103512: Afghanistan Value Chains – High Value Crops (AVC-HVC)</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72030618C00011</w:t>
            </w:r>
          </w:p>
        </w:tc>
        <w:tc>
          <w:tcPr/>
          <w:p>
            <w:pPr>
              <w:pStyle w:val="Compact"/>
              <w:jc w:val="right"/>
            </w:pPr>
            <w:r>
              <w:t xml:space="preserve">1572</w:t>
            </w:r>
          </w:p>
        </w:tc>
        <w:tc>
          <w:tcPr/>
          <w:p>
            <w:pPr>
              <w:pStyle w:val="Compact"/>
              <w:jc w:val="left"/>
            </w:pPr>
            <w:r>
              <w:t xml:space="preserve">103513: Afghanistan Value Chains – Livestock (AVC-L)</w:t>
            </w:r>
          </w:p>
        </w:tc>
        <w:tc>
          <w:tcPr/>
          <w:p>
            <w:pPr>
              <w:pStyle w:val="Compact"/>
              <w:jc w:val="left"/>
            </w:pPr>
            <w:r>
              <w:t xml:space="preserve">$3,734,805</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1579</w:t>
            </w:r>
          </w:p>
        </w:tc>
        <w:tc>
          <w:tcPr/>
          <w:p>
            <w:pPr>
              <w:pStyle w:val="Compact"/>
              <w:jc w:val="left"/>
            </w:pPr>
            <w:r>
              <w:t xml:space="preserve">57617: Regional Agricultural Development Program – East (RADP-E)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AFG.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Afghanistan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Afghanistan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p>
      <w:pPr>
        <w:numPr>
          <w:ilvl w:val="0"/>
          <w:numId w:val="1002"/>
        </w:numPr>
      </w:pPr>
      <w:r>
        <w:t xml:space="preserve">Limit responses to 100 words.</w:t>
      </w:r>
    </w:p>
    <w:bookmarkEnd w:id="81"/>
    <w:bookmarkEnd w:id="82"/>
    <w:bookmarkStart w:id="83" w:name="performance-target-1-sales-not-on-track"/>
    <w:p>
      <w:pPr>
        <w:pStyle w:val="Heading2"/>
      </w:pPr>
      <w:r>
        <w:t xml:space="preserve">Performance Target 1: Sales [Not on Track]</w:t>
      </w:r>
    </w:p>
    <w:p>
      <w:pPr>
        <w:pStyle w:val="FirstParagraph"/>
      </w:pPr>
      <w:r>
        <w:rPr>
          <w:iCs/>
          <w:i/>
        </w:rPr>
        <w:t xml:space="preserve">Excerpt from FY23 KIN Section 4 to consider:</w:t>
      </w:r>
    </w:p>
    <w:bookmarkEnd w:id="83"/>
    <w:bookmarkStart w:id="85"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p>
    <w:bookmarkStart w:id="84" w:name="enter-afghanistan-oigafg-response-below"/>
    <w:p>
      <w:pPr>
        <w:pStyle w:val="Heading4"/>
      </w:pPr>
      <w:r>
        <w:t xml:space="preserve">Enter Afghanistan (OIG/AFG) response below:</w:t>
      </w:r>
    </w:p>
    <w:bookmarkEnd w:id="84"/>
    <w:bookmarkEnd w:id="85"/>
    <w:bookmarkEnd w:id="8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Afghanistan</dc:title>
  <dc:creator/>
  <cp:keywords/>
  <dcterms:created xsi:type="dcterms:W3CDTF">2024-05-21T13:11:40Z</dcterms:created>
  <dcterms:modified xsi:type="dcterms:W3CDTF">2024-05-21T13:11:40Z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