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Liberia</w:t>
      </w:r>
    </w:p>
    <w:p>
      <w:pPr>
        <w:pStyle w:val="FirstParagraph"/>
      </w:pPr>
      <w:r>
        <w:t xml:space="preserve">This Feed the Future (FTF) Performance Scorecard assesses the USAID Liberia progress toward FY 2030 Performance Targets.</w:t>
      </w:r>
    </w:p>
    <w:bookmarkStart w:id="86"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Liberia%20(LIBERIA)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Liberia%20(LIBERIA)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Liberia.</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Liberia%20(LIBERIA)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Liberia%20(LIBERIA)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Liberia had 4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1 contributed to the sales total of $210,000.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Liberia%20(LIBERIA)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Liberia%20(LIBERIA)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Liberia had 0 IMs/Activities that reported all four sex disaggregates needed to contribute to PT2. The total value of financing among all activities, regardless of disaggregates, was $0 (EG.3.2-27 total), with $0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Liberia%20(LIBERIA)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Liberia%20(LIBERIA)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Liberia had 5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Liberia%20(LIBERIA)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Liberia%20(LIBERIA)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Liberia had 6 activities that aligned the private sector investment indicator (EG.3.1-15/-14),</w:t>
      </w:r>
      <w:r>
        <w:t xml:space="preserve"> </w:t>
      </w:r>
      <w:r>
        <w:t xml:space="preserve">‘</w:t>
      </w:r>
      <w:r>
        <w:t xml:space="preserve">Value of new private sector investment leveraged by the USG to support food security and nutrition [IM-level], Value of new private sector investment leveraged by the USG to support food security and nutrition [IM-Level]</w:t>
      </w:r>
      <w:r>
        <w:t xml:space="preserve">’</w:t>
      </w:r>
      <w:r>
        <w:t xml:space="preserve">, and 5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Liberia%20(LIBERIA)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Liberia%20(LIBERIA)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Liberia.</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Liberia%20(LIBERIA)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Liberia%20(LIBERIA)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Liberia%20(LIBERIA)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5 activities (out of the total 5 in the USAID Liberia (LIBERIA)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060"/>
        <w:gridCol w:w="990"/>
        <w:gridCol w:w="3394"/>
        <w:gridCol w:w="1343"/>
        <w:gridCol w:w="282"/>
        <w:gridCol w:w="282"/>
        <w:gridCol w:w="282"/>
        <w:gridCol w:w="28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r>
        <w:tc>
          <w:tcPr/>
          <w:p>
            <w:pPr>
              <w:pStyle w:val="Compact"/>
              <w:jc w:val="left"/>
            </w:pPr>
            <w:r>
              <w:t xml:space="preserve">7200AA21C00056</w:t>
            </w:r>
          </w:p>
        </w:tc>
        <w:tc>
          <w:tcPr/>
          <w:p>
            <w:pPr>
              <w:pStyle w:val="Compact"/>
              <w:jc w:val="right"/>
            </w:pPr>
            <w:r>
              <w:t xml:space="preserve">5971</w:t>
            </w:r>
          </w:p>
        </w:tc>
        <w:tc>
          <w:tcPr/>
          <w:p>
            <w:pPr>
              <w:pStyle w:val="Compact"/>
              <w:jc w:val="left"/>
            </w:pPr>
            <w:r>
              <w:t xml:space="preserve">Agribusiness Incubator and Development Activity</w:t>
            </w:r>
          </w:p>
        </w:tc>
        <w:tc>
          <w:tcPr/>
          <w:p>
            <w:pPr>
              <w:pStyle w:val="Compact"/>
              <w:jc w:val="left"/>
            </w:pPr>
            <w:r>
              <w:t xml:space="preserve">$965,728</w:t>
            </w:r>
          </w:p>
        </w:tc>
        <w:tc>
          <w:tcPr/>
          <w:p>
            <w:pPr>
              <w:pStyle w:val="Compact"/>
              <w:jc w:val="left"/>
            </w:pPr>
            <w:r>
              <w:t xml:space="preserve">X</w:t>
            </w:r>
          </w:p>
        </w:tc>
        <w:tc>
          <w:tcPr/>
          <w:p>
            <w:pPr>
              <w:pStyle w:val="Compact"/>
              <w:jc w:val="left"/>
            </w:pPr>
            <w:r>
              <w:t xml:space="preserve">-</w:t>
            </w:r>
          </w:p>
        </w:tc>
        <w:tc>
          <w:tcPr/>
          <w:p>
            <w:pPr>
              <w:pStyle w:val="Compact"/>
              <w:jc w:val="left"/>
            </w:pPr>
            <w:r>
              <w:t xml:space="preserve">-</w:t>
            </w:r>
          </w:p>
        </w:tc>
        <w:tc>
          <w:tcPr/>
          <w:p>
            <w:pPr>
              <w:pStyle w:val="Compact"/>
              <w:jc w:val="left"/>
            </w:pPr>
            <w:r>
              <w:t xml:space="preserve">X</w:t>
            </w:r>
          </w:p>
        </w:tc>
      </w:tr>
      <w:tr>
        <w:tc>
          <w:tcPr/>
          <w:p>
            <w:pPr>
              <w:pStyle w:val="Compact"/>
              <w:jc w:val="left"/>
            </w:pPr>
            <w:r>
              <w:t xml:space="preserve">72062019C00003</w:t>
            </w:r>
          </w:p>
        </w:tc>
        <w:tc>
          <w:tcPr/>
          <w:p>
            <w:pPr>
              <w:pStyle w:val="Compact"/>
              <w:jc w:val="right"/>
            </w:pPr>
            <w:r>
              <w:t xml:space="preserve">4000</w:t>
            </w:r>
          </w:p>
        </w:tc>
        <w:tc>
          <w:tcPr/>
          <w:p>
            <w:pPr>
              <w:pStyle w:val="Compact"/>
              <w:jc w:val="left"/>
            </w:pPr>
            <w:r>
              <w:t xml:space="preserve">West Africa Trade and Investment Hub</w:t>
            </w:r>
          </w:p>
        </w:tc>
        <w:tc>
          <w:tcPr/>
          <w:p>
            <w:pPr>
              <w:pStyle w:val="Compact"/>
              <w:jc w:val="left"/>
            </w:pPr>
            <w:r>
              <w:t xml:space="preserve">$421,247</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016"/>
        <w:gridCol w:w="749"/>
        <w:gridCol w:w="3638"/>
        <w:gridCol w:w="1070"/>
        <w:gridCol w:w="481"/>
        <w:gridCol w:w="481"/>
        <w:gridCol w:w="481"/>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7200AA21C00056</w:t>
            </w:r>
          </w:p>
        </w:tc>
        <w:tc>
          <w:tcPr/>
          <w:p>
            <w:pPr>
              <w:pStyle w:val="Compact"/>
              <w:jc w:val="right"/>
            </w:pPr>
            <w:r>
              <w:t xml:space="preserve">5971</w:t>
            </w:r>
          </w:p>
        </w:tc>
        <w:tc>
          <w:tcPr/>
          <w:p>
            <w:pPr>
              <w:pStyle w:val="Compact"/>
              <w:jc w:val="left"/>
            </w:pPr>
            <w:r>
              <w:t xml:space="preserve">Agribusiness Incubator and Development Activity</w:t>
            </w:r>
          </w:p>
        </w:tc>
        <w:tc>
          <w:tcPr/>
          <w:p>
            <w:pPr>
              <w:pStyle w:val="Compact"/>
              <w:jc w:val="left"/>
            </w:pPr>
            <w:r>
              <w:t xml:space="preserve">$965,728</w:t>
            </w:r>
          </w:p>
        </w:tc>
        <w:tc>
          <w:tcPr/>
          <w:p>
            <w:pPr>
              <w:pStyle w:val="Compact"/>
              <w:jc w:val="left"/>
            </w:pPr>
            <w:r>
              <w:t xml:space="preserve">$212,000</w:t>
            </w:r>
          </w:p>
        </w:tc>
        <w:tc>
          <w:tcPr/>
          <w:p>
            <w:pPr>
              <w:pStyle w:val="Compact"/>
              <w:jc w:val="left"/>
            </w:pPr>
            <w:r>
              <w:t xml:space="preserve">NA</w:t>
            </w:r>
          </w:p>
        </w:tc>
        <w:tc>
          <w:tcPr/>
          <w:p>
            <w:pPr>
              <w:pStyle w:val="Compact"/>
              <w:jc w:val="left"/>
            </w:pPr>
            <w:r>
              <w:t xml:space="preserve">$819,453</w:t>
            </w:r>
          </w:p>
        </w:tc>
      </w:tr>
      <w:tr>
        <w:tc>
          <w:tcPr/>
          <w:p>
            <w:pPr>
              <w:pStyle w:val="Compact"/>
              <w:jc w:val="left"/>
            </w:pPr>
            <w:r>
              <w:t xml:space="preserve">!! Not reported !!</w:t>
            </w:r>
          </w:p>
        </w:tc>
        <w:tc>
          <w:tcPr/>
          <w:p>
            <w:pPr>
              <w:pStyle w:val="Compact"/>
              <w:jc w:val="right"/>
            </w:pPr>
            <w:r>
              <w:t xml:space="preserve">1570</w:t>
            </w:r>
          </w:p>
        </w:tc>
        <w:tc>
          <w:tcPr/>
          <w:p>
            <w:pPr>
              <w:pStyle w:val="Compact"/>
              <w:jc w:val="left"/>
            </w:pPr>
            <w:r>
              <w:t xml:space="preserve">107319: Food Security, Nutrition and Resilience Activity in Liberia</w:t>
            </w:r>
          </w:p>
        </w:tc>
        <w:tc>
          <w:tcPr/>
          <w:p>
            <w:pPr>
              <w:pStyle w:val="Compact"/>
              <w:jc w:val="left"/>
            </w:pPr>
            <w:r>
              <w:t xml:space="preserve">NA</w:t>
            </w:r>
          </w:p>
        </w:tc>
        <w:tc>
          <w:tcPr/>
          <w:p>
            <w:pPr>
              <w:pStyle w:val="Compact"/>
              <w:jc w:val="left"/>
            </w:pPr>
            <w:r>
              <w:t xml:space="preserve">NA</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AID-669-A-16-00005</w:t>
            </w:r>
          </w:p>
        </w:tc>
        <w:tc>
          <w:tcPr/>
          <w:p>
            <w:pPr>
              <w:pStyle w:val="Compact"/>
              <w:jc w:val="right"/>
            </w:pPr>
            <w:r>
              <w:t xml:space="preserve">1568</w:t>
            </w:r>
          </w:p>
        </w:tc>
        <w:tc>
          <w:tcPr/>
          <w:p>
            <w:pPr>
              <w:pStyle w:val="Compact"/>
              <w:jc w:val="left"/>
            </w:pPr>
            <w:r>
              <w:t xml:space="preserve">Liberia Agribusiness Development Activity</w:t>
            </w:r>
          </w:p>
        </w:tc>
        <w:tc>
          <w:tcPr/>
          <w:p>
            <w:pPr>
              <w:pStyle w:val="Compact"/>
              <w:jc w:val="left"/>
            </w:pPr>
            <w:r>
              <w:t xml:space="preserve">-$49,772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72062019C00003</w:t>
            </w:r>
          </w:p>
        </w:tc>
        <w:tc>
          <w:tcPr/>
          <w:p>
            <w:pPr>
              <w:pStyle w:val="Compact"/>
              <w:jc w:val="right"/>
            </w:pPr>
            <w:r>
              <w:t xml:space="preserve">4000</w:t>
            </w:r>
          </w:p>
        </w:tc>
        <w:tc>
          <w:tcPr/>
          <w:p>
            <w:pPr>
              <w:pStyle w:val="Compact"/>
              <w:jc w:val="left"/>
            </w:pPr>
            <w:r>
              <w:t xml:space="preserve">West Africa Trade and Investment Hub</w:t>
            </w:r>
          </w:p>
        </w:tc>
        <w:tc>
          <w:tcPr/>
          <w:p>
            <w:pPr>
              <w:pStyle w:val="Compact"/>
              <w:jc w:val="left"/>
            </w:pPr>
            <w:r>
              <w:t xml:space="preserve">$421,247</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LBR.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Liberia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Liberia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81"/>
    <w:bookmarkEnd w:id="82"/>
    <w:bookmarkStart w:id="83" w:name="performance-target-1-sales-not-on-track"/>
    <w:p>
      <w:pPr>
        <w:pStyle w:val="Heading2"/>
      </w:pPr>
      <w:r>
        <w:t xml:space="preserve">Performance Target 1: Sales [Not on Track]</w:t>
      </w:r>
    </w:p>
    <w:p>
      <w:pPr>
        <w:pStyle w:val="FirstParagraph"/>
      </w:pPr>
      <w:r>
        <w:rPr>
          <w:iCs/>
          <w:i/>
        </w:rPr>
        <w:t xml:space="preserve">Excerpt from FY23 KIN Section 4 to consider:</w:t>
      </w:r>
      <w:r>
        <w:t xml:space="preserve">FY23, the achievement only reached approximately 13 percent of the $1,610,000 target. This target was initially an estimate set before the Agribusiness Incubator and Development activity’s implementing partner had awarded grants to 11 agribusiness partners. The grant awards were finalized in the fourth quarter of FY 2023, with most grantees beginning implementation less than three months before reporting. Each of the 11 grant agreements outlines specific sales targets. While some grantees have already made sales under their agreements, the rest will begin registering sales in FY 2024, following their grant milestone plans. The Mission foresees a significant increase in figures during the next reporting period, driven by results from the two core FTF activities: Feed the Future Liberia Food Security, Nutrition, and Resilience (FSNR) and Agribusiness Incubator and Development.</w:t>
      </w:r>
    </w:p>
    <w:bookmarkEnd w:id="83"/>
    <w:bookmarkStart w:id="85"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will report on the hectares of cultivated land under improved climate adaptation management practices or technologies beginning in FY 2024. The core FTF activity contributing to this result, FSNR, started up in Q2 of FY 2023.</w:t>
      </w:r>
    </w:p>
    <w:bookmarkStart w:id="84" w:name="X5a5bc7cb24d0e2a79f7226328baf74f1cc01041"/>
    <w:p>
      <w:pPr>
        <w:pStyle w:val="Heading4"/>
      </w:pPr>
      <w:r>
        <w:t xml:space="preserve">Enter USAID Liberia (LIBERIA) response below:</w:t>
      </w:r>
    </w:p>
    <w:bookmarkEnd w:id="84"/>
    <w:bookmarkEnd w:id="85"/>
    <w:bookmarkEnd w:id="86"/>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Liberia</dc:title>
  <dc:creator/>
  <cp:keywords/>
  <dcterms:created xsi:type="dcterms:W3CDTF">2024-05-20T18:51:55Z</dcterms:created>
  <dcterms:modified xsi:type="dcterms:W3CDTF">2024-05-20T18:51:55Z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