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Nigeria</w:t>
      </w:r>
    </w:p>
    <w:p>
      <w:pPr>
        <w:pStyle w:val="FirstParagraph"/>
      </w:pPr>
      <w:r>
        <w:t xml:space="preserve">This Feed the Future (FTF) Performance Scorecard assesses the USAID Nigeria progress toward FY 2030 Performance Targets.</w:t>
      </w:r>
    </w:p>
    <w:bookmarkStart w:id="87"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Nigeria%20(NIGERIA)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Nigeria%20(NIGERIA)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Nigeria.</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Nigeria%20(NIGERIA)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Nigeria%20(NIGERIA)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Nigeria had 5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5 contributed to the sales total of $5,802,240,000.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Nigeria%20(NIGERIA)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Nigeria%20(NIGERIA)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Nigeria had 2 IMs/Activities that reported all four sex disaggregates needed to contribute to PT2. The total value of financing among all activities, regardless of disaggregates, was $32,640,000 (EG.3.2-27 total), with $32,640,000 that was disaggregated by females and males, and an additional $92,270,000 to</w:t>
      </w:r>
      <w:r>
        <w:t xml:space="preserve"> </w:t>
      </w:r>
      <w:r>
        <w:t xml:space="preserve">‘</w:t>
      </w:r>
      <w:r>
        <w:t xml:space="preserve">mixed</w:t>
      </w:r>
      <w:r>
        <w:t xml:space="preserve">’</w:t>
      </w:r>
      <w:r>
        <w:t xml:space="preserve"> </w:t>
      </w:r>
      <w:r>
        <w:t xml:space="preserve">firms that have both males and females, and $1,950,000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Nigeria%20(NIGERIA)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Nigeria%20(NIGERIA)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Nigeria had 21 activities that aligned the indicator for hectares under improved management practices (EG.3.2-25). Of those activities, 0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Nigeria%20(NIGERIA)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Nigeria%20(NIGERIA)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Nigeria had 4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4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Nigeria%20(NIGERIA)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Nigeria%20(NIGERIA)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The baseline population-based survey (PBS) for USAID Nigeria was in 2020 and showed that 37% of women in the ZOI had consumed a minimally-diverse diet in the previous day or night. The FY30 target is 49% percent. The following PBS is scheduled for .</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Nigeria%20(NIGERIA)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Nigeria%20(NIGERIA)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Nigeria%20(NIGERIA)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21 in the USAID Nigeria (NIGERIA) portfolio) that have the highest level of FY 2023 annual disbursements and highest reported values for the relevant indicators. 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945"/>
        <w:gridCol w:w="827"/>
        <w:gridCol w:w="4078"/>
        <w:gridCol w:w="1122"/>
        <w:gridCol w:w="236"/>
        <w:gridCol w:w="236"/>
        <w:gridCol w:w="236"/>
        <w:gridCol w:w="236"/>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72062019C00003</w:t>
            </w:r>
          </w:p>
        </w:tc>
        <w:tc>
          <w:tcPr/>
          <w:p>
            <w:pPr>
              <w:pStyle w:val="Compact"/>
              <w:jc w:val="right"/>
            </w:pPr>
            <w:r>
              <w:t xml:space="preserve">2344</w:t>
            </w:r>
          </w:p>
        </w:tc>
        <w:tc>
          <w:tcPr/>
          <w:p>
            <w:pPr>
              <w:pStyle w:val="Compact"/>
              <w:jc w:val="left"/>
            </w:pPr>
            <w:r>
              <w:t xml:space="preserve">West Africa Trade Hub</w:t>
            </w:r>
          </w:p>
        </w:tc>
        <w:tc>
          <w:tcPr/>
          <w:p>
            <w:pPr>
              <w:pStyle w:val="Compact"/>
              <w:jc w:val="left"/>
            </w:pPr>
            <w:r>
              <w:t xml:space="preserve">$13,613,583</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72062020CA00002</w:t>
            </w:r>
          </w:p>
        </w:tc>
        <w:tc>
          <w:tcPr/>
          <w:p>
            <w:pPr>
              <w:pStyle w:val="Compact"/>
              <w:jc w:val="right"/>
            </w:pPr>
            <w:r>
              <w:t xml:space="preserve">2342</w:t>
            </w:r>
          </w:p>
        </w:tc>
        <w:tc>
          <w:tcPr/>
          <w:p>
            <w:pPr>
              <w:pStyle w:val="Compact"/>
              <w:jc w:val="left"/>
            </w:pPr>
            <w:r>
              <w:t xml:space="preserve">Feed the Future Nigeria Rural Resilience</w:t>
            </w:r>
          </w:p>
        </w:tc>
        <w:tc>
          <w:tcPr/>
          <w:p>
            <w:pPr>
              <w:pStyle w:val="Compact"/>
              <w:jc w:val="left"/>
            </w:pPr>
            <w:r>
              <w:t xml:space="preserve">$8,025,150</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72062020C00001</w:t>
            </w:r>
          </w:p>
        </w:tc>
        <w:tc>
          <w:tcPr/>
          <w:p>
            <w:pPr>
              <w:pStyle w:val="Compact"/>
              <w:jc w:val="right"/>
            </w:pPr>
            <w:r>
              <w:t xml:space="preserve">2339</w:t>
            </w:r>
          </w:p>
        </w:tc>
        <w:tc>
          <w:tcPr/>
          <w:p>
            <w:pPr>
              <w:pStyle w:val="Compact"/>
              <w:jc w:val="left"/>
            </w:pPr>
            <w:r>
              <w:t xml:space="preserve">Feed the Future Nigeria Agricultural Extension and Advisory Services</w:t>
            </w:r>
          </w:p>
        </w:tc>
        <w:tc>
          <w:tcPr/>
          <w:p>
            <w:pPr>
              <w:pStyle w:val="Compact"/>
              <w:jc w:val="left"/>
            </w:pPr>
            <w:r>
              <w:t xml:space="preserve">$3,432,554</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72062019C00001</w:t>
            </w:r>
          </w:p>
        </w:tc>
        <w:tc>
          <w:tcPr/>
          <w:p>
            <w:pPr>
              <w:pStyle w:val="Compact"/>
              <w:jc w:val="right"/>
            </w:pPr>
            <w:r>
              <w:t xml:space="preserve">1406</w:t>
            </w:r>
          </w:p>
        </w:tc>
        <w:tc>
          <w:tcPr/>
          <w:p>
            <w:pPr>
              <w:pStyle w:val="Compact"/>
              <w:jc w:val="left"/>
            </w:pPr>
            <w:r>
              <w:t xml:space="preserve">Feed the Future Nigeria Agribusiness Investment</w:t>
            </w:r>
          </w:p>
        </w:tc>
        <w:tc>
          <w:tcPr/>
          <w:p>
            <w:pPr>
              <w:pStyle w:val="Compact"/>
              <w:jc w:val="left"/>
            </w:pPr>
            <w:r>
              <w:t xml:space="preserve">$3,190,548</w:t>
            </w:r>
          </w:p>
        </w:tc>
        <w:tc>
          <w:tcPr/>
          <w:p>
            <w:pPr>
              <w:pStyle w:val="Compact"/>
              <w:jc w:val="left"/>
            </w:pPr>
            <w:r>
              <w:t xml:space="preserve">-</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72062018IO00002</w:t>
            </w:r>
          </w:p>
        </w:tc>
        <w:tc>
          <w:tcPr/>
          <w:p>
            <w:pPr>
              <w:pStyle w:val="Compact"/>
              <w:jc w:val="right"/>
            </w:pPr>
            <w:r>
              <w:t xml:space="preserve">1410</w:t>
            </w:r>
          </w:p>
        </w:tc>
        <w:tc>
          <w:tcPr/>
          <w:p>
            <w:pPr>
              <w:pStyle w:val="Compact"/>
              <w:jc w:val="left"/>
            </w:pPr>
            <w:r>
              <w:t xml:space="preserve">Feed the Future Nigeria Integrated Agriculture</w:t>
            </w:r>
          </w:p>
        </w:tc>
        <w:tc>
          <w:tcPr/>
          <w:p>
            <w:pPr>
              <w:pStyle w:val="Compact"/>
              <w:jc w:val="left"/>
            </w:pPr>
            <w:r>
              <w:t xml:space="preserve">$2,410,335</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817"/>
        <w:gridCol w:w="715"/>
        <w:gridCol w:w="3525"/>
        <w:gridCol w:w="1021"/>
        <w:gridCol w:w="766"/>
        <w:gridCol w:w="459"/>
        <w:gridCol w:w="613"/>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Sales</w:t>
            </w:r>
          </w:p>
        </w:tc>
        <w:tc>
          <w:tcPr/>
          <w:p>
            <w:pPr>
              <w:pStyle w:val="Compact"/>
              <w:jc w:val="left"/>
            </w:pPr>
            <w:r>
              <w:t xml:space="preserve">Hectares</w:t>
            </w:r>
          </w:p>
        </w:tc>
        <w:tc>
          <w:tcPr/>
          <w:p>
            <w:pPr>
              <w:pStyle w:val="Compact"/>
              <w:jc w:val="left"/>
            </w:pPr>
            <w:r>
              <w:t xml:space="preserve">PSI</w:t>
            </w:r>
          </w:p>
        </w:tc>
      </w:tr>
      <w:tr>
        <w:tc>
          <w:tcPr/>
          <w:p>
            <w:pPr>
              <w:pStyle w:val="Compact"/>
              <w:jc w:val="left"/>
            </w:pPr>
            <w:r>
              <w:t xml:space="preserve">72062020C00001</w:t>
            </w:r>
          </w:p>
        </w:tc>
        <w:tc>
          <w:tcPr/>
          <w:p>
            <w:pPr>
              <w:pStyle w:val="Compact"/>
              <w:jc w:val="right"/>
            </w:pPr>
            <w:r>
              <w:t xml:space="preserve">2339</w:t>
            </w:r>
          </w:p>
        </w:tc>
        <w:tc>
          <w:tcPr/>
          <w:p>
            <w:pPr>
              <w:pStyle w:val="Compact"/>
              <w:jc w:val="left"/>
            </w:pPr>
            <w:r>
              <w:t xml:space="preserve">Feed the Future Nigeria Agricultural Extension and Advisory Services</w:t>
            </w:r>
          </w:p>
        </w:tc>
        <w:tc>
          <w:tcPr/>
          <w:p>
            <w:pPr>
              <w:pStyle w:val="Compact"/>
              <w:jc w:val="left"/>
            </w:pPr>
            <w:r>
              <w:t xml:space="preserve">$3,432,554</w:t>
            </w:r>
          </w:p>
        </w:tc>
        <w:tc>
          <w:tcPr/>
          <w:p>
            <w:pPr>
              <w:pStyle w:val="Compact"/>
              <w:jc w:val="left"/>
            </w:pPr>
            <w:r>
              <w:t xml:space="preserve">$5,658,124,161</w:t>
            </w:r>
          </w:p>
        </w:tc>
        <w:tc>
          <w:tcPr/>
          <w:p>
            <w:pPr>
              <w:pStyle w:val="Compact"/>
              <w:jc w:val="left"/>
            </w:pPr>
            <w:r>
              <w:t xml:space="preserve">NA</w:t>
            </w:r>
          </w:p>
        </w:tc>
        <w:tc>
          <w:tcPr/>
          <w:p>
            <w:pPr>
              <w:pStyle w:val="Compact"/>
              <w:jc w:val="left"/>
            </w:pPr>
            <w:r>
              <w:t xml:space="preserve">$12,487,772</w:t>
            </w:r>
          </w:p>
        </w:tc>
      </w:tr>
      <w:tr>
        <w:tc>
          <w:tcPr/>
          <w:p>
            <w:pPr>
              <w:pStyle w:val="Compact"/>
              <w:jc w:val="left"/>
            </w:pPr>
            <w:r>
              <w:t xml:space="preserve">72062019C00003</w:t>
            </w:r>
          </w:p>
        </w:tc>
        <w:tc>
          <w:tcPr/>
          <w:p>
            <w:pPr>
              <w:pStyle w:val="Compact"/>
              <w:jc w:val="right"/>
            </w:pPr>
            <w:r>
              <w:t xml:space="preserve">2344</w:t>
            </w:r>
          </w:p>
        </w:tc>
        <w:tc>
          <w:tcPr/>
          <w:p>
            <w:pPr>
              <w:pStyle w:val="Compact"/>
              <w:jc w:val="left"/>
            </w:pPr>
            <w:r>
              <w:t xml:space="preserve">West Africa Trade Hub</w:t>
            </w:r>
          </w:p>
        </w:tc>
        <w:tc>
          <w:tcPr/>
          <w:p>
            <w:pPr>
              <w:pStyle w:val="Compact"/>
              <w:jc w:val="left"/>
            </w:pPr>
            <w:r>
              <w:t xml:space="preserve">$13,613,583</w:t>
            </w:r>
          </w:p>
        </w:tc>
        <w:tc>
          <w:tcPr/>
          <w:p>
            <w:pPr>
              <w:pStyle w:val="Compact"/>
              <w:jc w:val="left"/>
            </w:pPr>
            <w:r>
              <w:t xml:space="preserve">$120,160,687</w:t>
            </w:r>
          </w:p>
        </w:tc>
        <w:tc>
          <w:tcPr/>
          <w:p>
            <w:pPr>
              <w:pStyle w:val="Compact"/>
              <w:jc w:val="left"/>
            </w:pPr>
            <w:r>
              <w:t xml:space="preserve">NA</w:t>
            </w:r>
          </w:p>
        </w:tc>
        <w:tc>
          <w:tcPr/>
          <w:p>
            <w:pPr>
              <w:pStyle w:val="Compact"/>
              <w:jc w:val="left"/>
            </w:pPr>
            <w:r>
              <w:t xml:space="preserve">$59,823,778</w:t>
            </w:r>
          </w:p>
        </w:tc>
      </w:tr>
      <w:tr>
        <w:tc>
          <w:tcPr/>
          <w:p>
            <w:pPr>
              <w:pStyle w:val="Compact"/>
              <w:jc w:val="left"/>
            </w:pPr>
            <w:r>
              <w:t xml:space="preserve">72062020CA00002</w:t>
            </w:r>
          </w:p>
        </w:tc>
        <w:tc>
          <w:tcPr/>
          <w:p>
            <w:pPr>
              <w:pStyle w:val="Compact"/>
              <w:jc w:val="right"/>
            </w:pPr>
            <w:r>
              <w:t xml:space="preserve">2342</w:t>
            </w:r>
          </w:p>
        </w:tc>
        <w:tc>
          <w:tcPr/>
          <w:p>
            <w:pPr>
              <w:pStyle w:val="Compact"/>
              <w:jc w:val="left"/>
            </w:pPr>
            <w:r>
              <w:t xml:space="preserve">Feed the Future Nigeria Rural Resilience</w:t>
            </w:r>
          </w:p>
        </w:tc>
        <w:tc>
          <w:tcPr/>
          <w:p>
            <w:pPr>
              <w:pStyle w:val="Compact"/>
              <w:jc w:val="left"/>
            </w:pPr>
            <w:r>
              <w:t xml:space="preserve">$8,025,150</w:t>
            </w:r>
          </w:p>
        </w:tc>
        <w:tc>
          <w:tcPr/>
          <w:p>
            <w:pPr>
              <w:pStyle w:val="Compact"/>
              <w:jc w:val="left"/>
            </w:pPr>
            <w:r>
              <w:t xml:space="preserve">$23,602,477</w:t>
            </w:r>
          </w:p>
        </w:tc>
        <w:tc>
          <w:tcPr/>
          <w:p>
            <w:pPr>
              <w:pStyle w:val="Compact"/>
              <w:jc w:val="left"/>
            </w:pPr>
            <w:r>
              <w:t xml:space="preserve">NA</w:t>
            </w:r>
          </w:p>
        </w:tc>
        <w:tc>
          <w:tcPr/>
          <w:p>
            <w:pPr>
              <w:pStyle w:val="Compact"/>
              <w:jc w:val="left"/>
            </w:pPr>
            <w:r>
              <w:t xml:space="preserve">$2,920,172</w:t>
            </w:r>
          </w:p>
        </w:tc>
      </w:tr>
      <w:tr>
        <w:tc>
          <w:tcPr/>
          <w:p>
            <w:pPr>
              <w:pStyle w:val="Compact"/>
              <w:jc w:val="left"/>
            </w:pPr>
            <w:r>
              <w:t xml:space="preserve">72062019CA00008</w:t>
            </w:r>
          </w:p>
        </w:tc>
        <w:tc>
          <w:tcPr/>
          <w:p>
            <w:pPr>
              <w:pStyle w:val="Compact"/>
              <w:jc w:val="right"/>
            </w:pPr>
            <w:r>
              <w:t xml:space="preserve">1424</w:t>
            </w:r>
          </w:p>
        </w:tc>
        <w:tc>
          <w:tcPr/>
          <w:p>
            <w:pPr>
              <w:pStyle w:val="Compact"/>
              <w:jc w:val="left"/>
            </w:pPr>
            <w:r>
              <w:t xml:space="preserve">Water for Agriculture</w:t>
            </w:r>
          </w:p>
        </w:tc>
        <w:tc>
          <w:tcPr/>
          <w:p>
            <w:pPr>
              <w:pStyle w:val="Compact"/>
              <w:jc w:val="left"/>
            </w:pPr>
            <w:r>
              <w:t xml:space="preserve">$313,300</w:t>
            </w:r>
          </w:p>
        </w:tc>
        <w:tc>
          <w:tcPr/>
          <w:p>
            <w:pPr>
              <w:pStyle w:val="Compact"/>
              <w:jc w:val="left"/>
            </w:pPr>
            <w:r>
              <w:t xml:space="preserve">$329,704</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72062018IO00002</w:t>
            </w:r>
          </w:p>
        </w:tc>
        <w:tc>
          <w:tcPr/>
          <w:p>
            <w:pPr>
              <w:pStyle w:val="Compact"/>
              <w:jc w:val="right"/>
            </w:pPr>
            <w:r>
              <w:t xml:space="preserve">1410</w:t>
            </w:r>
          </w:p>
        </w:tc>
        <w:tc>
          <w:tcPr/>
          <w:p>
            <w:pPr>
              <w:pStyle w:val="Compact"/>
              <w:jc w:val="left"/>
            </w:pPr>
            <w:r>
              <w:t xml:space="preserve">Feed the Future Nigeria Integrated Agriculture</w:t>
            </w:r>
          </w:p>
        </w:tc>
        <w:tc>
          <w:tcPr/>
          <w:p>
            <w:pPr>
              <w:pStyle w:val="Compact"/>
              <w:jc w:val="left"/>
            </w:pPr>
            <w:r>
              <w:t xml:space="preserve">$2,410,335</w:t>
            </w:r>
          </w:p>
        </w:tc>
        <w:tc>
          <w:tcPr/>
          <w:p>
            <w:pPr>
              <w:pStyle w:val="Compact"/>
              <w:jc w:val="left"/>
            </w:pPr>
            <w:r>
              <w:t xml:space="preserve">$23,129</w:t>
            </w:r>
          </w:p>
        </w:tc>
        <w:tc>
          <w:tcPr/>
          <w:p>
            <w:pPr>
              <w:pStyle w:val="Compact"/>
              <w:jc w:val="left"/>
            </w:pPr>
            <w:r>
              <w:t xml:space="preserve">NA</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NGA.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Nigeria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Nigeria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in the response:</w:t>
      </w:r>
    </w:p>
    <w:p>
      <w:pPr>
        <w:numPr>
          <w:ilvl w:val="0"/>
          <w:numId w:val="1002"/>
        </w:numPr>
      </w:pPr>
      <w:r>
        <w:t xml:space="preserve">An explanation of why this target is not on track. Explanations may include that the OU/Mission was not aware of the target prior to planning activities.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w:t>
      </w:r>
    </w:p>
    <w:bookmarkEnd w:id="81"/>
    <w:bookmarkEnd w:id="82"/>
    <w:bookmarkStart w:id="84" w:name="Xd3d8d6371966079386b3ab254a139384d93ee67"/>
    <w:p>
      <w:pPr>
        <w:pStyle w:val="Heading2"/>
      </w:pPr>
      <w:r>
        <w:t xml:space="preserve">Performance Target 2: Gender financing ratio [Not on Track]</w:t>
      </w:r>
    </w:p>
    <w:p>
      <w:pPr>
        <w:pStyle w:val="FirstParagraph"/>
      </w:pPr>
      <w:r>
        <w:rPr>
          <w:iCs/>
          <w:i/>
        </w:rPr>
        <w:t xml:space="preserve">Excerpt from FY23 KIN Section 4 to consider:</w:t>
      </w:r>
      <w:r>
        <w:rPr>
          <w:iCs/>
          <w:i/>
        </w:rPr>
        <w:t xml:space="preserve"> </w:t>
      </w:r>
      <w:r>
        <w:t xml:space="preserve">achievement suggests a positive trend towards gender equality in financial inclusion, indicating that efforts to bridge the gap between men and women in accessing financial services have been successful. It implies that more women are gaining access to banking services, credit, savings, and other financial resources, which have wide range socio-economic benefits such as empowering women economically, promoting entrepreneurship and fostering economic growth. The strategy that has proven to be successful is the engagement with several financial and non-financial institutions to invest in input credit financing model which is increasing the number of clients accessing agricultural finance.</w:t>
      </w:r>
    </w:p>
    <w:bookmarkStart w:id="83" w:name="X156023fac7224e109c85ae323c6236f10a06fb3"/>
    <w:p>
      <w:pPr>
        <w:pStyle w:val="Heading4"/>
      </w:pPr>
      <w:r>
        <w:t xml:space="preserve">Enter USAID Nigeria (NIGERIA) response below:</w:t>
      </w:r>
    </w:p>
    <w:bookmarkEnd w:id="83"/>
    <w:bookmarkEnd w:id="84"/>
    <w:bookmarkStart w:id="86" w:name="X8de971756c6e3bb20ee84819a72fbfe46c0d694"/>
    <w:p>
      <w:pPr>
        <w:pStyle w:val="Heading2"/>
      </w:pPr>
      <w:r>
        <w:t xml:space="preserve">Performance Target 3: Hectares under climate adaptive and risk management practices [Not on Track]</w:t>
      </w:r>
    </w:p>
    <w:p>
      <w:pPr>
        <w:pStyle w:val="FirstParagraph"/>
      </w:pPr>
      <w:r>
        <w:rPr>
          <w:iCs/>
          <w:i/>
        </w:rPr>
        <w:t xml:space="preserve">Excerpt from FY23 KIN Section 4 to consider:</w:t>
      </w:r>
      <w:r>
        <w:rPr>
          <w:iCs/>
          <w:i/>
        </w:rPr>
        <w:t xml:space="preserve"> </w:t>
      </w:r>
      <w:r>
        <w:t xml:space="preserve">for hectares under climate adaptation and risk management practices was overachieved due to heightened awareness among farmers, extensive training programs, and the adoption of innovative agricultural techniques. Interventions such as demand stimulation campaigns, video-enabled extension, promotion of digital applications (like RiceAdvice App and Field Area Measure), input financing, biofertilizer demonstrations increased the total hectares under improved technologies and climate adaptation/climate risk management practices.</w:t>
      </w:r>
    </w:p>
    <w:bookmarkStart w:id="85" w:name="X9f9ce9a11cfb9188a58e60d7b2429d1c730e4fe"/>
    <w:p>
      <w:pPr>
        <w:pStyle w:val="Heading4"/>
      </w:pPr>
      <w:r>
        <w:t xml:space="preserve">Enter USAID Nigeria (NIGERIA) response below:</w:t>
      </w:r>
    </w:p>
    <w:bookmarkEnd w:id="85"/>
    <w:bookmarkEnd w:id="86"/>
    <w:bookmarkEnd w:id="87"/>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Nigeria</dc:title>
  <dc:creator/>
  <cp:keywords/>
  <dcterms:created xsi:type="dcterms:W3CDTF">2024-05-20T18:52:35Z</dcterms:created>
  <dcterms:modified xsi:type="dcterms:W3CDTF">2024-05-20T18:52:35Z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