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Zimbabwe</w:t>
      </w:r>
    </w:p>
    <w:p>
      <w:pPr>
        <w:pStyle w:val="FirstParagraph"/>
      </w:pPr>
      <w:r>
        <w:t xml:space="preserve">This Feed the Future (FTF) Performance Scorecard assesses the USAID Zimbabwe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Zimbabwe%20(ZIMBABWE)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Zimbabwe%20(ZIMBABWE)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Zimbabwe.</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Zimbabwe%20(ZIMBABWE)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Zimbabwe%20(ZIMBABWE)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Zimbabwe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4 contributed to the sales total of $22,930,000.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Zimbabwe%20(ZIMBABWE)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Zimbabwe%20(ZIMBABWE)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Zimbabwe had 1 IMs/Activities that reported all four sex disaggregates needed to contribute to PT2. The total value of financing among all activities, regardless of disaggregates, was $270,000 (EG.3.2-27 total), with $270,000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Zimbabwe%20(ZIMBABWE)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Zimbabwe%20(ZIMBABWE)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Zimbabwe had 8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Zimbabwe%20(ZIMBABWE)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Zimbabwe%20(ZIMBABWE)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Zimbabwe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Zimbabwe%20(ZIMBABWE)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Zimbabwe%20(ZIMBABWE)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Zimbabwe.</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Zimbabwe%20(ZIMBABWE)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Zimbabwe%20(ZIMBABWE)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Zimbabwe%20(ZIMBABWE)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8 in the USAID Zimbabwe (ZIMBABWE)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35"/>
        <w:gridCol w:w="724"/>
        <w:gridCol w:w="4348"/>
        <w:gridCol w:w="983"/>
        <w:gridCol w:w="207"/>
        <w:gridCol w:w="207"/>
        <w:gridCol w:w="207"/>
        <w:gridCol w:w="207"/>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72061320C00001</w:t>
            </w:r>
          </w:p>
        </w:tc>
        <w:tc>
          <w:tcPr/>
          <w:p>
            <w:pPr>
              <w:pStyle w:val="Compact"/>
              <w:jc w:val="right"/>
            </w:pPr>
            <w:r>
              <w:t xml:space="preserve">1296</w:t>
            </w:r>
          </w:p>
        </w:tc>
        <w:tc>
          <w:tcPr/>
          <w:p>
            <w:pPr>
              <w:pStyle w:val="Compact"/>
              <w:jc w:val="left"/>
            </w:pPr>
            <w:r>
              <w:t xml:space="preserve">Fostering Agribusiness for Resilient Markets</w:t>
            </w:r>
          </w:p>
        </w:tc>
        <w:tc>
          <w:tcPr/>
          <w:p>
            <w:pPr>
              <w:pStyle w:val="Compact"/>
              <w:jc w:val="left"/>
            </w:pPr>
            <w:r>
              <w:t xml:space="preserve">$4,603,531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7200AA18D00022</w:t>
            </w:r>
          </w:p>
        </w:tc>
        <w:tc>
          <w:tcPr/>
          <w:p>
            <w:pPr>
              <w:pStyle w:val="Compact"/>
              <w:jc w:val="right"/>
            </w:pPr>
            <w:r>
              <w:t xml:space="preserve">1297</w:t>
            </w:r>
          </w:p>
        </w:tc>
        <w:tc>
          <w:tcPr/>
          <w:p>
            <w:pPr>
              <w:pStyle w:val="Compact"/>
              <w:jc w:val="left"/>
            </w:pPr>
            <w:r>
              <w:t xml:space="preserve">RESILIENCE ANCHORS</w:t>
            </w:r>
          </w:p>
        </w:tc>
        <w:tc>
          <w:tcPr/>
          <w:p>
            <w:pPr>
              <w:pStyle w:val="Compact"/>
              <w:jc w:val="left"/>
            </w:pPr>
            <w:r>
              <w:t xml:space="preserve">$2,415,672</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1289</w:t>
            </w:r>
          </w:p>
        </w:tc>
        <w:tc>
          <w:tcPr/>
          <w:p>
            <w:pPr>
              <w:pStyle w:val="Compact"/>
              <w:jc w:val="left"/>
            </w:pPr>
            <w:r>
              <w:t xml:space="preserve">104844: Evaluating Agro-ecological Management Options for Fall Armyworm in Zimbabwe</w:t>
            </w:r>
          </w:p>
        </w:tc>
        <w:tc>
          <w:tcPr/>
          <w:p>
            <w:pPr>
              <w:pStyle w:val="Compact"/>
              <w:jc w:val="left"/>
            </w:pPr>
            <w:r>
              <w:t xml:space="preserve">$1,838,165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931"/>
        <w:gridCol w:w="652"/>
        <w:gridCol w:w="3913"/>
        <w:gridCol w:w="931"/>
        <w:gridCol w:w="559"/>
        <w:gridCol w:w="419"/>
        <w:gridCol w:w="51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72061320C00001</w:t>
            </w:r>
          </w:p>
        </w:tc>
        <w:tc>
          <w:tcPr/>
          <w:p>
            <w:pPr>
              <w:pStyle w:val="Compact"/>
              <w:jc w:val="right"/>
            </w:pPr>
            <w:r>
              <w:t xml:space="preserve">1296</w:t>
            </w:r>
          </w:p>
        </w:tc>
        <w:tc>
          <w:tcPr/>
          <w:p>
            <w:pPr>
              <w:pStyle w:val="Compact"/>
              <w:jc w:val="left"/>
            </w:pPr>
            <w:r>
              <w:t xml:space="preserve">Fostering Agribusiness for Resilient Markets</w:t>
            </w:r>
          </w:p>
        </w:tc>
        <w:tc>
          <w:tcPr/>
          <w:p>
            <w:pPr>
              <w:pStyle w:val="Compact"/>
              <w:jc w:val="left"/>
            </w:pPr>
            <w:r>
              <w:t xml:space="preserve">$4,603,531</w:t>
            </w:r>
          </w:p>
        </w:tc>
        <w:tc>
          <w:tcPr/>
          <w:p>
            <w:pPr>
              <w:pStyle w:val="Compact"/>
              <w:jc w:val="left"/>
            </w:pPr>
            <w:r>
              <w:t xml:space="preserve">$21,425,163</w:t>
            </w:r>
          </w:p>
        </w:tc>
        <w:tc>
          <w:tcPr/>
          <w:p>
            <w:pPr>
              <w:pStyle w:val="Compact"/>
              <w:jc w:val="left"/>
            </w:pPr>
            <w:r>
              <w:t xml:space="preserve">32 066</w:t>
            </w:r>
          </w:p>
        </w:tc>
        <w:tc>
          <w:tcPr/>
          <w:p>
            <w:pPr>
              <w:pStyle w:val="Compact"/>
              <w:jc w:val="left"/>
            </w:pPr>
            <w:r>
              <w:t xml:space="preserve">$3,134,319</w:t>
            </w:r>
          </w:p>
        </w:tc>
      </w:tr>
      <w:tr>
        <w:tc>
          <w:tcPr/>
          <w:p>
            <w:pPr>
              <w:pStyle w:val="Compact"/>
              <w:jc w:val="left"/>
            </w:pPr>
            <w:r>
              <w:t xml:space="preserve">72DFFP20CA00007</w:t>
            </w:r>
          </w:p>
        </w:tc>
        <w:tc>
          <w:tcPr/>
          <w:p>
            <w:pPr>
              <w:pStyle w:val="Compact"/>
              <w:jc w:val="right"/>
            </w:pPr>
            <w:r>
              <w:t xml:space="preserve">4635</w:t>
            </w:r>
          </w:p>
        </w:tc>
        <w:tc>
          <w:tcPr/>
          <w:p>
            <w:pPr>
              <w:pStyle w:val="Compact"/>
              <w:jc w:val="left"/>
            </w:pPr>
            <w:r>
              <w:t xml:space="preserve">Takunda</w:t>
            </w:r>
          </w:p>
        </w:tc>
        <w:tc>
          <w:tcPr/>
          <w:p>
            <w:pPr>
              <w:pStyle w:val="Compact"/>
              <w:jc w:val="left"/>
            </w:pPr>
            <w:r>
              <w:t xml:space="preserve">NA</w:t>
            </w:r>
          </w:p>
        </w:tc>
        <w:tc>
          <w:tcPr/>
          <w:p>
            <w:pPr>
              <w:pStyle w:val="Compact"/>
              <w:jc w:val="left"/>
            </w:pPr>
            <w:r>
              <w:t xml:space="preserve">$1,322,391</w:t>
            </w:r>
          </w:p>
        </w:tc>
        <w:tc>
          <w:tcPr/>
          <w:p>
            <w:pPr>
              <w:pStyle w:val="Compact"/>
              <w:jc w:val="left"/>
            </w:pPr>
            <w:r>
              <w:t xml:space="preserve">8 157</w:t>
            </w:r>
          </w:p>
        </w:tc>
        <w:tc>
          <w:tcPr/>
          <w:p>
            <w:pPr>
              <w:pStyle w:val="Compact"/>
              <w:jc w:val="left"/>
            </w:pPr>
            <w:r>
              <w:t xml:space="preserve">NA</w:t>
            </w:r>
          </w:p>
        </w:tc>
      </w:tr>
      <w:tr>
        <w:tc>
          <w:tcPr/>
          <w:p>
            <w:pPr>
              <w:pStyle w:val="Compact"/>
              <w:jc w:val="left"/>
            </w:pPr>
            <w:r>
              <w:t xml:space="preserve">72DFFP20CA00008</w:t>
            </w:r>
          </w:p>
        </w:tc>
        <w:tc>
          <w:tcPr/>
          <w:p>
            <w:pPr>
              <w:pStyle w:val="Compact"/>
              <w:jc w:val="right"/>
            </w:pPr>
            <w:r>
              <w:t xml:space="preserve">931</w:t>
            </w:r>
          </w:p>
        </w:tc>
        <w:tc>
          <w:tcPr/>
          <w:p>
            <w:pPr>
              <w:pStyle w:val="Compact"/>
              <w:jc w:val="left"/>
            </w:pPr>
            <w:r>
              <w:t xml:space="preserve">Amalima Loko</w:t>
            </w:r>
          </w:p>
        </w:tc>
        <w:tc>
          <w:tcPr/>
          <w:p>
            <w:pPr>
              <w:pStyle w:val="Compact"/>
              <w:jc w:val="left"/>
            </w:pPr>
            <w:r>
              <w:t xml:space="preserve">NA</w:t>
            </w:r>
          </w:p>
        </w:tc>
        <w:tc>
          <w:tcPr/>
          <w:p>
            <w:pPr>
              <w:pStyle w:val="Compact"/>
              <w:jc w:val="left"/>
            </w:pPr>
            <w:r>
              <w:t xml:space="preserve">$148,203</w:t>
            </w:r>
          </w:p>
        </w:tc>
        <w:tc>
          <w:tcPr/>
          <w:p>
            <w:pPr>
              <w:pStyle w:val="Compact"/>
              <w:jc w:val="left"/>
            </w:pPr>
            <w:r>
              <w:t xml:space="preserve">14 201</w:t>
            </w:r>
          </w:p>
        </w:tc>
        <w:tc>
          <w:tcPr/>
          <w:p>
            <w:pPr>
              <w:pStyle w:val="Compact"/>
              <w:jc w:val="left"/>
            </w:pPr>
            <w:r>
              <w:t xml:space="preserve">NA</w:t>
            </w:r>
          </w:p>
        </w:tc>
      </w:tr>
      <w:tr>
        <w:tc>
          <w:tcPr/>
          <w:p>
            <w:pPr>
              <w:pStyle w:val="Compact"/>
              <w:jc w:val="left"/>
            </w:pPr>
            <w:r>
              <w:t xml:space="preserve">7200AA18D00022</w:t>
            </w:r>
          </w:p>
        </w:tc>
        <w:tc>
          <w:tcPr/>
          <w:p>
            <w:pPr>
              <w:pStyle w:val="Compact"/>
              <w:jc w:val="right"/>
            </w:pPr>
            <w:r>
              <w:t xml:space="preserve">1297</w:t>
            </w:r>
          </w:p>
        </w:tc>
        <w:tc>
          <w:tcPr/>
          <w:p>
            <w:pPr>
              <w:pStyle w:val="Compact"/>
              <w:jc w:val="left"/>
            </w:pPr>
            <w:r>
              <w:t xml:space="preserve">RESILIENCE ANCHORS</w:t>
            </w:r>
          </w:p>
        </w:tc>
        <w:tc>
          <w:tcPr/>
          <w:p>
            <w:pPr>
              <w:pStyle w:val="Compact"/>
              <w:jc w:val="left"/>
            </w:pPr>
            <w:r>
              <w:t xml:space="preserve">$2,415,672</w:t>
            </w:r>
          </w:p>
        </w:tc>
        <w:tc>
          <w:tcPr/>
          <w:p>
            <w:pPr>
              <w:pStyle w:val="Compact"/>
              <w:jc w:val="left"/>
            </w:pPr>
            <w:r>
              <w:t xml:space="preserve">$36,814</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AID-613-C-15-00001</w:t>
            </w:r>
          </w:p>
        </w:tc>
        <w:tc>
          <w:tcPr/>
          <w:p>
            <w:pPr>
              <w:pStyle w:val="Compact"/>
              <w:jc w:val="right"/>
            </w:pPr>
            <w:r>
              <w:t xml:space="preserve">1291</w:t>
            </w:r>
          </w:p>
        </w:tc>
        <w:tc>
          <w:tcPr/>
          <w:p>
            <w:pPr>
              <w:pStyle w:val="Compact"/>
              <w:jc w:val="left"/>
            </w:pPr>
            <w:r>
              <w:t xml:space="preserve">Feed the Future Zimbabwe - Livestock Development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1286</w:t>
            </w:r>
          </w:p>
        </w:tc>
        <w:tc>
          <w:tcPr/>
          <w:p>
            <w:pPr>
              <w:pStyle w:val="Compact"/>
              <w:jc w:val="left"/>
            </w:pPr>
            <w:r>
              <w:t xml:space="preserve">ZIM-15-002: Development Credit Authority (DCA)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AID-BFS-IO-17-00005</w:t>
            </w:r>
          </w:p>
        </w:tc>
        <w:tc>
          <w:tcPr/>
          <w:p>
            <w:pPr>
              <w:pStyle w:val="Compact"/>
              <w:jc w:val="right"/>
            </w:pPr>
            <w:r>
              <w:t xml:space="preserve">1289</w:t>
            </w:r>
          </w:p>
        </w:tc>
        <w:tc>
          <w:tcPr/>
          <w:p>
            <w:pPr>
              <w:pStyle w:val="Compact"/>
              <w:jc w:val="left"/>
            </w:pPr>
            <w:r>
              <w:t xml:space="preserve">104844: Evaluating Agro-ecological Management Options for Fall Armyworm in Zimbabwe</w:t>
            </w:r>
          </w:p>
        </w:tc>
        <w:tc>
          <w:tcPr/>
          <w:p>
            <w:pPr>
              <w:pStyle w:val="Compact"/>
              <w:jc w:val="left"/>
            </w:pPr>
            <w:r>
              <w:t xml:space="preserve">$1,838,165</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6461</w:t>
            </w:r>
          </w:p>
        </w:tc>
        <w:tc>
          <w:tcPr/>
          <w:p>
            <w:pPr>
              <w:pStyle w:val="Compact"/>
              <w:jc w:val="left"/>
            </w:pPr>
            <w:r>
              <w:t xml:space="preserve">Feed the Future Mechanization and Extension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ZWE.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Zimbabwe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Zimbabwe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4"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rPr>
          <w:iCs/>
          <w:i/>
        </w:rPr>
        <w:t xml:space="preserve"> </w:t>
      </w:r>
      <w:r>
        <w:t xml:space="preserve">value of finance accessed by females per dollar of finance accessed by males was $0.75 against a target of $1.0. The target was not met. The target was not met due to the poor economic environment coupled with unfavorable monetary policies (high interest rates for borrowers) that negatively affected farmers’ access to finance. Some pivots/adjustments that Mission is taking to address this as part of our adaptive management is scaling up the Village Savings &amp; Lending Loan Schemes to enable smallholder farmers to have access to funds that could be used as down payments in accessing loans or for outright purchase of farm inputs. The Mission is also designing an Access to Finance activity that will explore innovative and creative ways of incentivizing the financial institutions to increase access to credit for our beneficiaries, especially for those able to make down payments. FY 2024 targets are lower than the FY 2023 actuals due to the time needed for the formation and training of saving groups, and the start up phase of the Mission’s new Access to Finance activity that is scheduled to be awarded during the fiscal year.</w:t>
      </w:r>
    </w:p>
    <w:bookmarkStart w:id="83" w:name="X731fa4dd2ff2e0497828e90ba9efe3b23cd8330"/>
    <w:p>
      <w:pPr>
        <w:pStyle w:val="Heading4"/>
      </w:pPr>
      <w:r>
        <w:t xml:space="preserve">Enter USAID Zimbabwe (ZIMBABWE)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Zimbabwe</dc:title>
  <dc:creator/>
  <cp:keywords/>
  <dcterms:created xsi:type="dcterms:W3CDTF">2024-05-20T18:53:46Z</dcterms:created>
  <dcterms:modified xsi:type="dcterms:W3CDTF">2024-05-20T18:53:46Z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