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Afghanistan</w:t>
      </w:r>
    </w:p>
    <w:p>
      <w:pPr>
        <w:pStyle w:val="FirstParagraph"/>
      </w:pPr>
      <w:r>
        <w:t xml:space="preserve">This Feed the Future (FTF) Performance Scorecard assesses the Afghanistan progress toward FY 2030 Performance Targets.</w:t>
      </w:r>
    </w:p>
    <w:bookmarkStart w:id="84"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Afghanistan%20(OIGAF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Afghanistan%20(OIGAF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Afghanistan.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Afghanistan%20(OIGAF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Afghanistan%20(OIGAF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Afghanistan had 6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Afghanistan%20(OIGAF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Afghanistan%20(OIGAF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Afghanistan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Afghanistan%20(OIGAF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Afghanistan%20(OIGAF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Afghanistan had 1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Afghanistan%20(OIGAF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Afghanistan%20(OIGAF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Afghanistan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Afghanistan%20(OIGAF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Afghanistan%20(OIGAF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Afghanistan.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Afghanistan%20(OIGAFG)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Afghanistan%20(OIGAFG)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Afghanistan%20(OIGAFG)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Afghanistan (OIG/AFG)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83"/>
        <w:gridCol w:w="688"/>
        <w:gridCol w:w="4328"/>
        <w:gridCol w:w="983"/>
        <w:gridCol w:w="295"/>
        <w:gridCol w:w="442"/>
        <w:gridCol w:w="19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NA</w:t>
            </w:r>
          </w:p>
        </w:tc>
        <w:tc>
          <w:tcPr/>
          <w:p>
            <w:pPr>
              <w:pStyle w:val="Compact"/>
              <w:jc w:val="right"/>
            </w:pPr>
            <w:r>
              <w:t xml:space="preserve">1576</w:t>
            </w:r>
          </w:p>
        </w:tc>
        <w:tc>
          <w:tcPr/>
          <w:p>
            <w:pPr>
              <w:pStyle w:val="Compact"/>
              <w:jc w:val="left"/>
            </w:pPr>
            <w:r>
              <w:t xml:space="preserve">100746: Commercial Horticulture and Agriculture Marketing Program (CHAMP) 2nd Extension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AID-306-IO-17-00005</w:t>
            </w:r>
          </w:p>
        </w:tc>
        <w:tc>
          <w:tcPr/>
          <w:p>
            <w:pPr>
              <w:pStyle w:val="Compact"/>
              <w:jc w:val="right"/>
            </w:pPr>
            <w:r>
              <w:t xml:space="preserve">1578</w:t>
            </w:r>
          </w:p>
        </w:tc>
        <w:tc>
          <w:tcPr/>
          <w:p>
            <w:pPr>
              <w:pStyle w:val="Compact"/>
              <w:jc w:val="left"/>
            </w:pPr>
            <w:r>
              <w:t xml:space="preserve">103505: Promoting Value Chains - West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1574</w:t>
            </w:r>
          </w:p>
        </w:tc>
        <w:tc>
          <w:tcPr/>
          <w:p>
            <w:pPr>
              <w:pStyle w:val="Compact"/>
              <w:jc w:val="left"/>
            </w:pPr>
            <w:r>
              <w:t xml:space="preserve">103510: Agriculture Marketing Program (AMP)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1571</w:t>
            </w:r>
          </w:p>
        </w:tc>
        <w:tc>
          <w:tcPr/>
          <w:p>
            <w:pPr>
              <w:pStyle w:val="Compact"/>
              <w:jc w:val="left"/>
            </w:pPr>
            <w:r>
              <w:t xml:space="preserve">103512: Afghanistan Value Chains – High Value Crops (AVC-HVC)</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72030618C00011</w:t>
            </w:r>
          </w:p>
        </w:tc>
        <w:tc>
          <w:tcPr/>
          <w:p>
            <w:pPr>
              <w:pStyle w:val="Compact"/>
              <w:jc w:val="right"/>
            </w:pPr>
            <w:r>
              <w:t xml:space="preserve">1572</w:t>
            </w:r>
          </w:p>
        </w:tc>
        <w:tc>
          <w:tcPr/>
          <w:p>
            <w:pPr>
              <w:pStyle w:val="Compact"/>
              <w:jc w:val="left"/>
            </w:pPr>
            <w:r>
              <w:t xml:space="preserve">103513: Afghanistan Value Chains – Livestock (AVC-L)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1579</w:t>
            </w:r>
          </w:p>
        </w:tc>
        <w:tc>
          <w:tcPr/>
          <w:p>
            <w:pPr>
              <w:pStyle w:val="Compact"/>
              <w:jc w:val="left"/>
            </w:pPr>
            <w:r>
              <w:t xml:space="preserve">57617: Regional Agricultural Development Program – East (RADP-E)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Afghanistan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Afghanistan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p>
    <w:p>
      <w:pPr>
        <w:pStyle w:val="BodyText"/>
      </w:pPr>
      <w:r>
        <w:t xml:space="preserve">#### Enter Afghanistan (OIG/AFG) Response Below:</w:t>
      </w:r>
    </w:p>
    <w:bookmarkEnd w:id="81"/>
    <w:bookmarkStart w:id="83"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p>
    <w:bookmarkStart w:id="82" w:name="enter-afghanistan-oigafg-response-below"/>
    <w:p>
      <w:pPr>
        <w:pStyle w:val="Heading4"/>
      </w:pPr>
      <w:r>
        <w:t xml:space="preserve">Enter Afghanistan (OIG/AFG) Response Below:</w:t>
      </w:r>
    </w:p>
    <w:bookmarkEnd w:id="82"/>
    <w:bookmarkEnd w:id="83"/>
    <w:bookmarkEnd w:id="84"/>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Afghanistan</dc:title>
  <dc:creator/>
  <cp:keywords/>
  <dcterms:created xsi:type="dcterms:W3CDTF">2024-05-19T18:09:24Z</dcterms:created>
  <dcterms:modified xsi:type="dcterms:W3CDTF">2024-05-19T18:09:24Z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