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49.png" ContentType="image/png"/>
  <Override PartName="/word/media/rId67.png" ContentType="image/png"/>
  <Override PartName="/word/media/rId38.png" ContentType="image/png"/>
  <Override PartName="/word/media/rId35.png" ContentType="image/png"/>
  <Override PartName="/word/media/rId45.png" ContentType="image/png"/>
  <Override PartName="/word/media/rId42.png" ContentType="image/png"/>
  <Override PartName="/word/media/rId56.png" ContentType="image/png"/>
  <Override PartName="/word/media/rId59.png" ContentType="image/png"/>
  <Override PartName="/word/media/rId23.png" ContentType="image/png"/>
  <Override PartName="/word/media/rId32.png" ContentType="image/png"/>
  <Override PartName="/word/media/rId29.png" ContentType="image/png"/>
  <Override PartName="/word/media/rId20.png" ContentType="image/png"/>
  <Override PartName="/word/media/image1.png" ContentType="image/png"/>
  <Override PartName="/word/media/image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FTF</w:t>
      </w:r>
      <w:r>
        <w:t xml:space="preserve"> </w:t>
      </w:r>
      <w:r>
        <w:t xml:space="preserve">FY</w:t>
      </w:r>
      <w:r>
        <w:t xml:space="preserve"> </w:t>
      </w:r>
      <w:r>
        <w:t xml:space="preserve">2023</w:t>
      </w:r>
      <w:r>
        <w:t xml:space="preserve"> </w:t>
      </w:r>
      <w:r>
        <w:t xml:space="preserve">Performance</w:t>
      </w:r>
      <w:r>
        <w:t xml:space="preserve"> </w:t>
      </w:r>
      <w:r>
        <w:t xml:space="preserve">Scorecard</w:t>
      </w:r>
      <w:r>
        <w:t xml:space="preserve"> </w:t>
      </w:r>
      <w:r>
        <w:t xml:space="preserve">Bureau</w:t>
      </w:r>
      <w:r>
        <w:t xml:space="preserve"> </w:t>
      </w:r>
      <w:r>
        <w:t xml:space="preserve">for</w:t>
      </w:r>
      <w:r>
        <w:t xml:space="preserve"> </w:t>
      </w:r>
      <w:r>
        <w:t xml:space="preserve">Resilience</w:t>
      </w:r>
      <w:r>
        <w:t xml:space="preserve"> </w:t>
      </w:r>
      <w:r>
        <w:t xml:space="preserve">and</w:t>
      </w:r>
      <w:r>
        <w:t xml:space="preserve"> </w:t>
      </w:r>
      <w:r>
        <w:t xml:space="preserve">Food</w:t>
      </w:r>
      <w:r>
        <w:t xml:space="preserve"> </w:t>
      </w:r>
      <w:r>
        <w:t xml:space="preserve">Security</w:t>
      </w:r>
    </w:p>
    <w:p>
      <w:pPr>
        <w:pStyle w:val="FirstParagraph"/>
      </w:pPr>
      <w:r>
        <w:t xml:space="preserve">This Feed the Future (FTF) Performance Scorecard assesses the Bureau for Resilience and Food Security progress toward FY 2030 Performance Targets.</w:t>
      </w:r>
    </w:p>
    <w:bookmarkStart w:id="74" w:name="performance-overview"/>
    <w:p>
      <w:pPr>
        <w:pStyle w:val="Heading1"/>
      </w:pPr>
      <w:r>
        <w:t xml:space="preserve">Performance Overview</w:t>
      </w:r>
    </w:p>
    <w:p>
      <w:pPr>
        <w:pStyle w:val="FirstParagraph"/>
      </w:pPr>
      <w:r>
        <w:drawing>
          <wp:inline>
            <wp:extent cx="5943600" cy="685800"/>
            <wp:effectExtent b="0" l="0" r="0" t="0"/>
            <wp:docPr descr="" title="" id="21" name="Picture"/>
            <a:graphic>
              <a:graphicData uri="http://schemas.openxmlformats.org/drawingml/2006/picture">
                <pic:pic>
                  <pic:nvPicPr>
                    <pic:cNvPr descr="C:\Users\rythomas\Documents\R_scripts\country_scorecards\country_scorecards\output\Bureau%20for%20Resilience%20and%20Food%20Security%20(RFS)_files/figure-docx/stars-1.png" id="22" name="Picture"/>
                    <pic:cNvPicPr>
                      <a:picLocks noChangeArrowheads="1" noChangeAspect="1"/>
                    </pic:cNvPicPr>
                  </pic:nvPicPr>
                  <pic:blipFill>
                    <a:blip r:embed="rId20"/>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t xml:space="preserve">The FY 2023</w:t>
      </w:r>
      <w:r>
        <w:t xml:space="preserve"> </w:t>
      </w:r>
      <w:r>
        <w:rPr>
          <w:bCs/>
          <w:b/>
        </w:rPr>
        <w:t xml:space="preserve">On track</w:t>
      </w:r>
      <w:r>
        <w:t xml:space="preserve"> </w:t>
      </w:r>
      <w:r>
        <w:t xml:space="preserve">value is determined by drawing a line from the baseline (FY 2022) to the FY 2030 Target. For FY 2023, Performance Targets are considered</w:t>
      </w:r>
      <w:r>
        <w:t xml:space="preserve"> </w:t>
      </w:r>
      <w:r>
        <w:rPr>
          <w:bCs/>
          <w:b/>
        </w:rPr>
        <w:t xml:space="preserve">On track</w:t>
      </w:r>
      <w:r>
        <w:t xml:space="preserve"> </w:t>
      </w:r>
      <w:r>
        <w:t xml:space="preserve">if they have reported at least 90% of that value.</w:t>
      </w:r>
    </w:p>
    <w:p>
      <w:pPr>
        <w:pStyle w:val="BodyText"/>
      </w:pPr>
      <w:r>
        <w:drawing>
          <wp:inline>
            <wp:extent cx="5943600" cy="2514600"/>
            <wp:effectExtent b="0" l="0" r="0" t="0"/>
            <wp:docPr descr="" title="" id="24" name="Picture"/>
            <a:graphic>
              <a:graphicData uri="http://schemas.openxmlformats.org/drawingml/2006/picture">
                <pic:pic>
                  <pic:nvPicPr>
                    <pic:cNvPr descr="C:\Users\rythomas\Documents\R_scripts\country_scorecards\country_scorecards\output\Bureau%20for%20Resilience%20and%20Food%20Security%20(RFS)_files/figure-docx/overview%20plot-1.png" id="25" name="Picture"/>
                    <pic:cNvPicPr>
                      <a:picLocks noChangeArrowheads="1" noChangeAspect="1"/>
                    </pic:cNvPicPr>
                  </pic:nvPicPr>
                  <pic:blipFill>
                    <a:blip r:embed="rId23"/>
                    <a:stretch>
                      <a:fillRect/>
                    </a:stretch>
                  </pic:blipFill>
                  <pic:spPr bwMode="auto">
                    <a:xfrm>
                      <a:off x="0" y="0"/>
                      <a:ext cx="5943600" cy="2514600"/>
                    </a:xfrm>
                    <a:prstGeom prst="rect">
                      <a:avLst/>
                    </a:prstGeom>
                    <a:noFill/>
                    <a:ln w="9525">
                      <a:noFill/>
                      <a:headEnd/>
                      <a:tailEnd/>
                    </a:ln>
                  </pic:spPr>
                </pic:pic>
              </a:graphicData>
            </a:graphic>
          </wp:inline>
        </w:drawing>
      </w:r>
    </w:p>
    <w:p>
      <w:pPr>
        <w:pStyle w:val="BodyText"/>
      </w:pPr>
      <w:r>
        <w:rPr>
          <w:bCs/>
          <w:b/>
        </w:rPr>
        <w:t xml:space="preserve">Note:</w:t>
      </w:r>
      <w:r>
        <w:t xml:space="preserve"> </w:t>
      </w:r>
      <w:r>
        <w:rPr>
          <w:iCs/>
          <w:i/>
        </w:rPr>
        <w:t xml:space="preserve">For Performance Target 2 (Gender financing ratio), the target is to increase financing to females for those OUs that are already achieving parity ($1).</w:t>
      </w:r>
    </w:p>
    <w:p>
      <w:pPr>
        <w:pStyle w:val="BodyText"/>
      </w:pPr>
      <w:r>
        <w:rPr>
          <w:iCs/>
          <w:i/>
        </w:rPr>
        <w:t xml:space="preserve">For Performance Target 4 (PSI), all targets are relative to the last three years’ reporting. In future years, the interim targets may increase.</w:t>
      </w:r>
    </w:p>
    <w:p>
      <w:pPr>
        <w:pStyle w:val="BodyText"/>
      </w:pPr>
      <w:r>
        <w:rPr>
          <w:iCs/>
          <w:i/>
        </w:rPr>
        <w:t xml:space="preserve">For Performance Target 5 (MDD-W), all FY23 actual values are also the baseline, and may have been collected in a prior year. See the detail page for more information.</w:t>
      </w:r>
    </w:p>
    <w:p>
      <w:pPr>
        <w:pStyle w:val="BodyText"/>
      </w:pPr>
      <w:r>
        <w:rPr>
          <w:iCs/>
          <w:i/>
        </w:rPr>
        <w:t xml:space="preserve">See detailed</w:t>
      </w:r>
      <w:r>
        <w:rPr>
          <w:iCs/>
          <w:i/>
        </w:rPr>
        <w:t xml:space="preserve"> </w:t>
      </w:r>
      <w:hyperlink r:id="rId26">
        <w:r>
          <w:rPr>
            <w:rStyle w:val="Hyperlink"/>
            <w:iCs/>
            <w:i/>
          </w:rPr>
          <w:t xml:space="preserve">methodology document</w:t>
        </w:r>
      </w:hyperlink>
      <w:r>
        <w:rPr>
          <w:iCs/>
          <w:i/>
        </w:rPr>
        <w:t xml:space="preserve"> </w:t>
      </w:r>
      <w:r>
        <w:rPr>
          <w:iCs/>
          <w:i/>
        </w:rPr>
        <w:t xml:space="preserve">here. If you have questions, please email the FTF Data and Analytics team at</w:t>
      </w:r>
      <w:r>
        <w:t xml:space="preserve"> </w:t>
      </w:r>
      <w:hyperlink r:id="rId27">
        <w:r>
          <w:rPr>
            <w:rStyle w:val="Hyperlink"/>
          </w:rPr>
          <w:t xml:space="preserve">refs.adl.da@usaid.gov</w:t>
        </w:r>
      </w:hyperlink>
      <w:r>
        <w:t xml:space="preserve">.</w:t>
      </w:r>
    </w:p>
    <w:bookmarkStart w:id="28" w:name="performance-target-pt-details"/>
    <w:p>
      <w:pPr>
        <w:pStyle w:val="Heading3"/>
      </w:pPr>
      <w:r>
        <w:t xml:space="preserve">Performance Target (PT) Details</w:t>
      </w:r>
    </w:p>
    <w:p>
      <w:pPr>
        <w:pStyle w:val="FirstParagraph"/>
      </w:pPr>
      <w:r>
        <w:t xml:space="preserve">This section shows PT scores for each applicable PT for Bureau for Resilience and Food Security.</w:t>
      </w:r>
    </w:p>
    <w:bookmarkEnd w:id="28"/>
    <w:bookmarkStart w:id="64" w:name="X91db6fd6dafe90bb4c8fb5ecb3e907e131f0a75"/>
    <w:p>
      <w:pPr>
        <w:pStyle w:val="Heading2"/>
      </w:pPr>
      <w:r>
        <w:t xml:space="preserve">Performance Target 1: Value of annual sales of producers and firms receiving USG assistance</w:t>
      </w:r>
    </w:p>
    <w:p>
      <w:pPr>
        <w:pStyle w:val="FirstParagraph"/>
      </w:pPr>
      <w:r>
        <w:drawing>
          <wp:inline>
            <wp:extent cx="5943600" cy="457200"/>
            <wp:effectExtent b="0" l="0" r="0" t="0"/>
            <wp:docPr descr="" title="" id="30" name="Picture"/>
            <a:graphic>
              <a:graphicData uri="http://schemas.openxmlformats.org/drawingml/2006/picture">
                <pic:pic>
                  <pic:nvPicPr>
                    <pic:cNvPr descr="C:\Users\rythomas\Documents\R_scripts\country_scorecards\country_scorecards\output\Bureau%20for%20Resilience%20and%20Food%20Security%20(RFS)_files/figure-docx/sales%20text-1.png" id="31" name="Picture"/>
                    <pic:cNvPicPr>
                      <a:picLocks noChangeArrowheads="1" noChangeAspect="1"/>
                    </pic:cNvPicPr>
                  </pic:nvPicPr>
                  <pic:blipFill>
                    <a:blip r:embed="rId2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3" name="Picture"/>
            <a:graphic>
              <a:graphicData uri="http://schemas.openxmlformats.org/drawingml/2006/picture">
                <pic:pic>
                  <pic:nvPicPr>
                    <pic:cNvPr descr="C:\Users\rythomas\Documents\R_scripts\country_scorecards\country_scorecards\output\Bureau%20for%20Resilience%20and%20Food%20Security%20(RFS)_files/figure-docx/sales%20plot-1.png" id="34" name="Picture"/>
                    <pic:cNvPicPr>
                      <a:picLocks noChangeArrowheads="1" noChangeAspect="1"/>
                    </pic:cNvPicPr>
                  </pic:nvPicPr>
                  <pic:blipFill>
                    <a:blip r:embed="rId32"/>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Bureau for Resilience and Food Security had 9 activities that aligned the</w:t>
      </w:r>
      <w:r>
        <w:t xml:space="preserve"> </w:t>
      </w:r>
      <w:r>
        <w:t xml:space="preserve">‘</w:t>
      </w:r>
      <w:r>
        <w:t xml:space="preserve">Value of annual sales from producers and firms receiving USG assistance</w:t>
      </w:r>
      <w:r>
        <w:t xml:space="preserve">’</w:t>
      </w:r>
      <w:r>
        <w:t xml:space="preserve"> </w:t>
      </w:r>
      <w:r>
        <w:t xml:space="preserve">(EG.3.2-26), and 7 contributed to the sales total of $780,040,000.</w:t>
      </w:r>
    </w:p>
    <w:bookmarkStart w:id="41" w:name="Xa1d4ca5cff4a3e17dcc0dbc35e251afa9fc1a9d"/>
    <w:p>
      <w:pPr>
        <w:pStyle w:val="Heading6"/>
      </w:pPr>
      <w:r>
        <w:t xml:space="preserve">Performance Target 2: Value of financing accessed by female FTF participants per $1 of financing accessed by male FTF participants</w:t>
      </w:r>
    </w:p>
    <w:p>
      <w:pPr>
        <w:pStyle w:val="FirstParagraph"/>
      </w:pPr>
      <w:r>
        <w:drawing>
          <wp:inline>
            <wp:extent cx="5943600" cy="457200"/>
            <wp:effectExtent b="0" l="0" r="0" t="0"/>
            <wp:docPr descr="" title="" id="36" name="Picture"/>
            <a:graphic>
              <a:graphicData uri="http://schemas.openxmlformats.org/drawingml/2006/picture">
                <pic:pic>
                  <pic:nvPicPr>
                    <pic:cNvPr descr="C:\Users\rythomas\Documents\R_scripts\country_scorecards\country_scorecards\output\Bureau%20for%20Resilience%20and%20Food%20Security%20(RFS)_files/figure-docx/gender%20text-1.png" id="37" name="Picture"/>
                    <pic:cNvPicPr>
                      <a:picLocks noChangeArrowheads="1" noChangeAspect="1"/>
                    </pic:cNvPicPr>
                  </pic:nvPicPr>
                  <pic:blipFill>
                    <a:blip r:embed="rId35"/>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39" name="Picture"/>
            <a:graphic>
              <a:graphicData uri="http://schemas.openxmlformats.org/drawingml/2006/picture">
                <pic:pic>
                  <pic:nvPicPr>
                    <pic:cNvPr descr="C:\Users\rythomas\Documents\R_scripts\country_scorecards\country_scorecards\output\Bureau%20for%20Resilience%20and%20Food%20Security%20(RFS)_files/figure-docx/gender%20plot-1.png" id="40" name="Picture"/>
                    <pic:cNvPicPr>
                      <a:picLocks noChangeArrowheads="1" noChangeAspect="1"/>
                    </pic:cNvPicPr>
                  </pic:nvPicPr>
                  <pic:blipFill>
                    <a:blip r:embed="rId38"/>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USAID Bureau for Resilience and Food Security had 2 IMs/Activities that reported all four sex disaggregates needed to contribute to PT2. The total value of financing among all activities, regardless of disaggregates, was $142,150,000 (EG.3.2-27 total), with $142,150,000 that was disaggregated by females and males, and an additional $119,010,000 to</w:t>
      </w:r>
      <w:r>
        <w:t xml:space="preserve"> </w:t>
      </w:r>
      <w:r>
        <w:t xml:space="preserve">‘</w:t>
      </w:r>
      <w:r>
        <w:t xml:space="preserve">mixed</w:t>
      </w:r>
      <w:r>
        <w:t xml:space="preserve">’</w:t>
      </w:r>
      <w:r>
        <w:t xml:space="preserve"> </w:t>
      </w:r>
      <w:r>
        <w:t xml:space="preserve">firms that have both males and females, and $20,000 that was not sex disaggregated.</w:t>
      </w:r>
    </w:p>
    <w:bookmarkEnd w:id="41"/>
    <w:bookmarkStart w:id="48" w:name="Xdb645ce030296128e4b354bbe2c12d7e12758e3"/>
    <w:p>
      <w:pPr>
        <w:pStyle w:val="Heading6"/>
      </w:pPr>
      <w:r>
        <w:t xml:space="preserve">Performance Target 3: Number of cultivated hectares under climate adaptation/climate risk management practices and technologies with USG assistance</w:t>
      </w:r>
    </w:p>
    <w:p>
      <w:pPr>
        <w:pStyle w:val="FirstParagraph"/>
      </w:pPr>
      <w:r>
        <w:drawing>
          <wp:inline>
            <wp:extent cx="5943600" cy="457200"/>
            <wp:effectExtent b="0" l="0" r="0" t="0"/>
            <wp:docPr descr="" title="" id="43" name="Picture"/>
            <a:graphic>
              <a:graphicData uri="http://schemas.openxmlformats.org/drawingml/2006/picture">
                <pic:pic>
                  <pic:nvPicPr>
                    <pic:cNvPr descr="C:\Users\rythomas\Documents\R_scripts\country_scorecards\country_scorecards\output\Bureau%20for%20Resilience%20and%20Food%20Security%20(RFS)_files/figure-docx/hectares%20text-1.png" id="44" name="Picture"/>
                    <pic:cNvPicPr>
                      <a:picLocks noChangeArrowheads="1" noChangeAspect="1"/>
                    </pic:cNvPicPr>
                  </pic:nvPicPr>
                  <pic:blipFill>
                    <a:blip r:embed="rId42"/>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46" name="Picture"/>
            <a:graphic>
              <a:graphicData uri="http://schemas.openxmlformats.org/drawingml/2006/picture">
                <pic:pic>
                  <pic:nvPicPr>
                    <pic:cNvPr descr="C:\Users\rythomas\Documents\R_scripts\country_scorecards\country_scorecards\output\Bureau%20for%20Resilience%20and%20Food%20Security%20(RFS)_files/figure-docx/hectares%20plot-1.png" id="47" name="Picture"/>
                    <pic:cNvPicPr>
                      <a:picLocks noChangeArrowheads="1" noChangeAspect="1"/>
                    </pic:cNvPicPr>
                  </pic:nvPicPr>
                  <pic:blipFill>
                    <a:blip r:embed="rId45"/>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In FY 2023, Bureau for Resilience and Food Security had 74 activities that aligned the indicator for hectares under improved management practices (EG.3.2-25). Of those activities, 14 reported on the</w:t>
      </w:r>
      <w:r>
        <w:t xml:space="preserve"> </w:t>
      </w:r>
      <w:r>
        <w:t xml:space="preserve">‘</w:t>
      </w:r>
      <w:r>
        <w:t xml:space="preserve">Climate adaptation/climate risk management</w:t>
      </w:r>
      <w:r>
        <w:t xml:space="preserve">’</w:t>
      </w:r>
      <w:r>
        <w:t xml:space="preserve"> </w:t>
      </w:r>
      <w:r>
        <w:t xml:space="preserve">disaggregate and contributed to the OU total for this PT.</w:t>
      </w:r>
    </w:p>
    <w:bookmarkEnd w:id="48"/>
    <w:bookmarkStart w:id="55" w:name="X40db5b06b6ea1088ca7f761123426bed5ed7240"/>
    <w:p>
      <w:pPr>
        <w:pStyle w:val="Heading6"/>
      </w:pPr>
      <w:r>
        <w:t xml:space="preserve">Performance Target 4: Value of private sector investment leveraged by the USG to support food security and nutrition</w:t>
      </w:r>
    </w:p>
    <w:p>
      <w:pPr>
        <w:pStyle w:val="FirstParagraph"/>
      </w:pPr>
      <w:r>
        <w:drawing>
          <wp:inline>
            <wp:extent cx="5943600" cy="457200"/>
            <wp:effectExtent b="0" l="0" r="0" t="0"/>
            <wp:docPr descr="" title="" id="50" name="Picture"/>
            <a:graphic>
              <a:graphicData uri="http://schemas.openxmlformats.org/drawingml/2006/picture">
                <pic:pic>
                  <pic:nvPicPr>
                    <pic:cNvPr descr="C:\Users\rythomas\Documents\R_scripts\country_scorecards\country_scorecards\output\Bureau%20for%20Resilience%20and%20Food%20Security%20(RFS)_files/figure-docx/PSI%20text-1.png" id="51" name="Picture"/>
                    <pic:cNvPicPr>
                      <a:picLocks noChangeArrowheads="1" noChangeAspect="1"/>
                    </pic:cNvPicPr>
                  </pic:nvPicPr>
                  <pic:blipFill>
                    <a:blip r:embed="rId49"/>
                    <a:stretch>
                      <a:fillRect/>
                    </a:stretch>
                  </pic:blipFill>
                  <pic:spPr bwMode="auto">
                    <a:xfrm>
                      <a:off x="0" y="0"/>
                      <a:ext cx="5943600" cy="457200"/>
                    </a:xfrm>
                    <a:prstGeom prst="rect">
                      <a:avLst/>
                    </a:prstGeom>
                    <a:noFill/>
                    <a:ln w="9525">
                      <a:noFill/>
                      <a:headEnd/>
                      <a:tailEnd/>
                    </a:ln>
                  </pic:spPr>
                </pic:pic>
              </a:graphicData>
            </a:graphic>
          </wp:inline>
        </w:drawing>
      </w:r>
    </w:p>
    <w:p>
      <w:pPr>
        <w:pStyle w:val="BodyText"/>
      </w:pPr>
      <w:r>
        <w:drawing>
          <wp:inline>
            <wp:extent cx="5943600" cy="3566160"/>
            <wp:effectExtent b="0" l="0" r="0" t="0"/>
            <wp:docPr descr="" title="" id="53" name="Picture"/>
            <a:graphic>
              <a:graphicData uri="http://schemas.openxmlformats.org/drawingml/2006/picture">
                <pic:pic>
                  <pic:nvPicPr>
                    <pic:cNvPr descr="C:\Users\rythomas\Documents\R_scripts\country_scorecards\country_scorecards\output\Bureau%20for%20Resilience%20and%20Food%20Security%20(RFS)_files/figure-docx/PSI%20details-1.png" id="54" name="Picture"/>
                    <pic:cNvPicPr>
                      <a:picLocks noChangeArrowheads="1" noChangeAspect="1"/>
                    </pic:cNvPicPr>
                  </pic:nvPicPr>
                  <pic:blipFill>
                    <a:blip r:embed="rId52"/>
                    <a:stretch>
                      <a:fillRect/>
                    </a:stretch>
                  </pic:blipFill>
                  <pic:spPr bwMode="auto">
                    <a:xfrm>
                      <a:off x="0" y="0"/>
                      <a:ext cx="5943600" cy="3566160"/>
                    </a:xfrm>
                    <a:prstGeom prst="rect">
                      <a:avLst/>
                    </a:prstGeom>
                    <a:noFill/>
                    <a:ln w="9525">
                      <a:noFill/>
                      <a:headEnd/>
                      <a:tailEnd/>
                    </a:ln>
                  </pic:spPr>
                </pic:pic>
              </a:graphicData>
            </a:graphic>
          </wp:inline>
        </w:drawing>
      </w:r>
    </w:p>
    <w:p>
      <w:pPr>
        <w:pStyle w:val="BodyText"/>
      </w:pPr>
      <w:r>
        <w:t xml:space="preserve">In FY 2023, Bureau for Resilience and Food Security had 5 activities that aligned the private sector investment indicator (EG.3.1-15/-14),</w:t>
      </w:r>
      <w:r>
        <w:t xml:space="preserve"> </w:t>
      </w:r>
      <w:r>
        <w:t xml:space="preserve">‘</w:t>
      </w:r>
      <w:r>
        <w:t xml:space="preserve">Value of new private sector investment leveraged by the USG to support food security and nutrition [IM-level]</w:t>
      </w:r>
      <w:r>
        <w:t xml:space="preserve">’</w:t>
      </w:r>
      <w:r>
        <w:t xml:space="preserve">, and 5 contributed to the OU total in FY 2023.</w:t>
      </w:r>
    </w:p>
    <w:bookmarkEnd w:id="55"/>
    <w:bookmarkStart w:id="62" w:name="X2b568f0fc395b4d7e9228d91ed1edae00526d64"/>
    <w:p>
      <w:pPr>
        <w:pStyle w:val="Heading6"/>
      </w:pPr>
      <w:r>
        <w:t xml:space="preserve">Performance Target 5: Percent of women consuming a diet of minimum diversity (MDD-W)</w:t>
      </w:r>
    </w:p>
    <w:p>
      <w:pPr>
        <w:pStyle w:val="FirstParagraph"/>
      </w:pPr>
      <w:r>
        <w:drawing>
          <wp:inline>
            <wp:extent cx="5943600" cy="685800"/>
            <wp:effectExtent b="0" l="0" r="0" t="0"/>
            <wp:docPr descr="" title="" id="57" name="Picture"/>
            <a:graphic>
              <a:graphicData uri="http://schemas.openxmlformats.org/drawingml/2006/picture">
                <pic:pic>
                  <pic:nvPicPr>
                    <pic:cNvPr descr="C:\Users\rythomas\Documents\R_scripts\country_scorecards\country_scorecards\output\Bureau%20for%20Resilience%20and%20Food%20Security%20(RFS)_files/figure-docx/mddw%20details-1.png" id="58" name="Picture"/>
                    <pic:cNvPicPr>
                      <a:picLocks noChangeArrowheads="1" noChangeAspect="1"/>
                    </pic:cNvPicPr>
                  </pic:nvPicPr>
                  <pic:blipFill>
                    <a:blip r:embed="rId56"/>
                    <a:stretch>
                      <a:fillRect/>
                    </a:stretch>
                  </pic:blipFill>
                  <pic:spPr bwMode="auto">
                    <a:xfrm>
                      <a:off x="0" y="0"/>
                      <a:ext cx="5943600" cy="685800"/>
                    </a:xfrm>
                    <a:prstGeom prst="rect">
                      <a:avLst/>
                    </a:prstGeom>
                    <a:noFill/>
                    <a:ln w="9525">
                      <a:noFill/>
                      <a:headEnd/>
                      <a:tailEnd/>
                    </a:ln>
                  </pic:spPr>
                </pic:pic>
              </a:graphicData>
            </a:graphic>
          </wp:inline>
        </w:drawing>
      </w:r>
    </w:p>
    <w:p>
      <w:pPr>
        <w:pStyle w:val="BodyText"/>
      </w:pPr>
      <w:r>
        <w:drawing>
          <wp:inline>
            <wp:extent cx="5943600" cy="3657600"/>
            <wp:effectExtent b="0" l="0" r="0" t="0"/>
            <wp:docPr descr="" title="" id="60" name="Picture"/>
            <a:graphic>
              <a:graphicData uri="http://schemas.openxmlformats.org/drawingml/2006/picture">
                <pic:pic>
                  <pic:nvPicPr>
                    <pic:cNvPr descr="C:\Users\rythomas\Documents\R_scripts\country_scorecards\country_scorecards\output\Bureau%20for%20Resilience%20and%20Food%20Security%20(RFS)_files/figure-docx/mddw%20plot-1.png" id="61" name="Picture"/>
                    <pic:cNvPicPr>
                      <a:picLocks noChangeArrowheads="1" noChangeAspect="1"/>
                    </pic:cNvPicPr>
                  </pic:nvPicPr>
                  <pic:blipFill>
                    <a:blip r:embed="rId59"/>
                    <a:stretch>
                      <a:fillRect/>
                    </a:stretch>
                  </pic:blipFill>
                  <pic:spPr bwMode="auto">
                    <a:xfrm>
                      <a:off x="0" y="0"/>
                      <a:ext cx="5943600" cy="3657600"/>
                    </a:xfrm>
                    <a:prstGeom prst="rect">
                      <a:avLst/>
                    </a:prstGeom>
                    <a:noFill/>
                    <a:ln w="9525">
                      <a:noFill/>
                      <a:headEnd/>
                      <a:tailEnd/>
                    </a:ln>
                  </pic:spPr>
                </pic:pic>
              </a:graphicData>
            </a:graphic>
          </wp:inline>
        </w:drawing>
      </w:r>
    </w:p>
    <w:p>
      <w:pPr>
        <w:pStyle w:val="BodyText"/>
      </w:pPr>
      <w:r>
        <w:t xml:space="preserve">PT5 is not available for USAID Bureau for Resilience and Food Security.</w:t>
      </w:r>
    </w:p>
    <w:bookmarkEnd w:id="62"/>
    <w:bookmarkStart w:id="63" w:name="national-context"/>
    <w:p>
      <w:pPr>
        <w:pStyle w:val="Heading3"/>
      </w:pPr>
      <w:r>
        <w:t xml:space="preserve">National Context</w:t>
      </w:r>
    </w:p>
    <w:p>
      <w:pPr>
        <w:pStyle w:val="FirstParagraph"/>
      </w:pPr>
      <w:r>
        <w:t xml:space="preserve">National context data is not available for Bureau for Resilience and Food Security.</w:t>
      </w:r>
    </w:p>
    <w:p>
      <w:pPr>
        <w:pStyle w:val="SourceCode"/>
      </w:pPr>
      <w:r>
        <w:rPr>
          <w:rStyle w:val="VerbatimChar"/>
        </w:rPr>
        <w:t xml:space="preserve">## NULL</w:t>
      </w:r>
    </w:p>
    <w:bookmarkEnd w:id="63"/>
    <w:bookmarkEnd w:id="64"/>
    <w:bookmarkStart w:id="66" w:name="agricultural-transformation-index-score"/>
    <w:p>
      <w:pPr>
        <w:pStyle w:val="Heading2"/>
      </w:pPr>
      <w:r>
        <w:t xml:space="preserve">Agricultural Transformation Index Score</w:t>
      </w:r>
    </w:p>
    <w:p>
      <w:pPr>
        <w:pStyle w:val="FirstParagraph"/>
      </w:pPr>
      <w:r>
        <w:t xml:space="preserve">The</w:t>
      </w:r>
      <w:r>
        <w:t xml:space="preserve"> </w:t>
      </w:r>
      <w:hyperlink r:id="rId65">
        <w:r>
          <w:rPr>
            <w:rStyle w:val="Hyperlink"/>
          </w:rPr>
          <w:t xml:space="preserve">IFPRI Agricultural Transformation Index (ATI)</w:t>
        </w:r>
      </w:hyperlink>
      <w:r>
        <w:t xml:space="preserve"> </w:t>
      </w:r>
      <w:r>
        <w:t xml:space="preserve">Score is a high level indicator of the status of agricultural market systems in each country.</w:t>
      </w:r>
    </w:p>
    <w:p>
      <w:pPr>
        <w:pStyle w:val="SourceCode"/>
      </w:pPr>
      <w:r>
        <w:rPr>
          <w:rStyle w:val="VerbatimChar"/>
        </w:rPr>
        <w:t xml:space="preserve">## [1] "No Ag Transformation Index available for Bureau for Resilience and Food Security."</w:t>
      </w:r>
    </w:p>
    <w:bookmarkEnd w:id="66"/>
    <w:bookmarkStart w:id="70" w:name="budget-trend"/>
    <w:p>
      <w:pPr>
        <w:pStyle w:val="Heading2"/>
      </w:pPr>
      <w:r>
        <w:t xml:space="preserve">Budget Trend</w:t>
      </w:r>
    </w:p>
    <w:p>
      <w:pPr>
        <w:pStyle w:val="FirstParagraph"/>
      </w:pPr>
      <w:r>
        <w:t xml:space="preserve">At the Operating Unit level, the Performance Targets are based in part on the FY 2024 budget request. The budget chart below includes EG.3 money only.</w:t>
      </w:r>
    </w:p>
    <w:p>
      <w:pPr>
        <w:pStyle w:val="BodyText"/>
      </w:pPr>
      <w:r>
        <w:t xml:space="preserve">For the REFS Bureau, this value was divided by two to account for the large proportion of the budget that does not report on Performance Target indicators.</w:t>
      </w:r>
    </w:p>
    <w:p>
      <w:pPr>
        <w:pStyle w:val="BodyText"/>
      </w:pPr>
      <w:r>
        <w:drawing>
          <wp:inline>
            <wp:extent cx="5943600" cy="3200400"/>
            <wp:effectExtent b="0" l="0" r="0" t="0"/>
            <wp:docPr descr="" title="" id="68" name="Picture"/>
            <a:graphic>
              <a:graphicData uri="http://schemas.openxmlformats.org/drawingml/2006/picture">
                <pic:pic>
                  <pic:nvPicPr>
                    <pic:cNvPr descr="C:\Users\rythomas\Documents\R_scripts\country_scorecards\country_scorecards\output\Bureau%20for%20Resilience%20and%20Food%20Security%20(RFS)_files/figure-docx/budget%20plot-1.png" id="69" name="Picture"/>
                    <pic:cNvPicPr>
                      <a:picLocks noChangeArrowheads="1" noChangeAspect="1"/>
                    </pic:cNvPicPr>
                  </pic:nvPicPr>
                  <pic:blipFill>
                    <a:blip r:embed="rId67"/>
                    <a:stretch>
                      <a:fillRect/>
                    </a:stretch>
                  </pic:blipFill>
                  <pic:spPr bwMode="auto">
                    <a:xfrm>
                      <a:off x="0" y="0"/>
                      <a:ext cx="5943600" cy="3200400"/>
                    </a:xfrm>
                    <a:prstGeom prst="rect">
                      <a:avLst/>
                    </a:prstGeom>
                    <a:noFill/>
                    <a:ln w="9525">
                      <a:noFill/>
                      <a:headEnd/>
                      <a:tailEnd/>
                    </a:ln>
                  </pic:spPr>
                </pic:pic>
              </a:graphicData>
            </a:graphic>
          </wp:inline>
        </w:drawing>
      </w:r>
    </w:p>
    <w:bookmarkEnd w:id="70"/>
    <w:bookmarkStart w:id="71" w:name="active-portfolio"/>
    <w:p>
      <w:pPr>
        <w:pStyle w:val="Heading2"/>
      </w:pPr>
      <w:r>
        <w:t xml:space="preserve">Active Portfolio</w:t>
      </w:r>
    </w:p>
    <w:p>
      <w:pPr>
        <w:pStyle w:val="FirstParagraph"/>
      </w:pPr>
      <w:r>
        <w:t xml:space="preserve">The following activities are considered</w:t>
      </w:r>
      <w:r>
        <w:t xml:space="preserve"> </w:t>
      </w:r>
      <w:r>
        <w:t xml:space="preserve">“</w:t>
      </w:r>
      <w:r>
        <w:t xml:space="preserve">active</w:t>
      </w:r>
      <w:r>
        <w:t xml:space="preserve">”</w:t>
      </w:r>
      <w:r>
        <w:t xml:space="preserve"> </w:t>
      </w:r>
      <w:r>
        <w:t xml:space="preserve">based on their reporting in FY 2023 and expected FY 2024 reporting. The Analytics, Data and Learning Division defines an</w:t>
      </w:r>
      <w:r>
        <w:t xml:space="preserve"> </w:t>
      </w:r>
      <w:r>
        <w:t xml:space="preserve">“</w:t>
      </w:r>
      <w:r>
        <w:t xml:space="preserve">active</w:t>
      </w:r>
      <w:r>
        <w:t xml:space="preserve">”</w:t>
      </w:r>
      <w:r>
        <w:t xml:space="preserve"> </w:t>
      </w:r>
      <w:r>
        <w:t xml:space="preserve">activity as one that reported targets, actuals, or deviation narratives for the current year (FY 2023), or the next out year targets (i.e. FY 2024).</w:t>
      </w:r>
    </w:p>
    <w:bookmarkEnd w:id="71"/>
    <w:bookmarkStart w:id="73" w:name="X5c5d246148a297ff9a3792eabd1fa065d738198"/>
    <w:p>
      <w:pPr>
        <w:pStyle w:val="Heading2"/>
      </w:pPr>
      <w:r>
        <w:t xml:space="preserve">Top Activities (Award Disbursements and Results)</w:t>
      </w:r>
    </w:p>
    <w:p>
      <w:pPr>
        <w:pStyle w:val="FirstParagraph"/>
      </w:pPr>
      <w:r>
        <w:t xml:space="preserve">This section highlights some activities in the Bureau for Resilience and Food Security (RFS) portfolio that have the highest level of disbursements and high reporting values for the relevant indicators. The table below shows the top (up to) five activities by the total transaction amount for disbursements. The columns to the right indicate if these activities are reporting on relevant PT indicators.</w:t>
      </w:r>
    </w:p>
    <w:tbl>
      <w:tblPr>
        <w:tblStyle w:val="Table"/>
        <w:tblW w:type="pct" w:w="5000"/>
        <w:tblLook w:firstRow="1" w:lastRow="0" w:firstColumn="0" w:lastColumn="0" w:noHBand="0" w:noVBand="0" w:val="0020"/>
        <w:jc w:val="start"/>
      </w:tblPr>
      <w:tblGrid>
        <w:gridCol w:w="1354"/>
        <w:gridCol w:w="1458"/>
        <w:gridCol w:w="1458"/>
        <w:gridCol w:w="1980"/>
        <w:gridCol w:w="416"/>
        <w:gridCol w:w="416"/>
        <w:gridCol w:w="416"/>
        <w:gridCol w:w="416"/>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FY23 Disbursements</w:t>
            </w:r>
          </w:p>
        </w:tc>
        <w:tc>
          <w:tcPr/>
          <w:p>
            <w:pPr>
              <w:pStyle w:val="Compact"/>
              <w:jc w:val="left"/>
            </w:pPr>
            <w:r>
              <w:t xml:space="preserve">PT1</w:t>
            </w:r>
          </w:p>
        </w:tc>
        <w:tc>
          <w:tcPr/>
          <w:p>
            <w:pPr>
              <w:pStyle w:val="Compact"/>
              <w:jc w:val="left"/>
            </w:pPr>
            <w:r>
              <w:t xml:space="preserve">PT2</w:t>
            </w:r>
          </w:p>
        </w:tc>
        <w:tc>
          <w:tcPr/>
          <w:p>
            <w:pPr>
              <w:pStyle w:val="Compact"/>
              <w:jc w:val="left"/>
            </w:pPr>
            <w:r>
              <w:t xml:space="preserve">PT3</w:t>
            </w:r>
          </w:p>
        </w:tc>
        <w:tc>
          <w:tcPr/>
          <w:p>
            <w:pPr>
              <w:pStyle w:val="Compact"/>
              <w:jc w:val="left"/>
            </w:pPr>
            <w:r>
              <w:t xml:space="preserve">PT4</w:t>
            </w:r>
          </w:p>
        </w:tc>
      </w:tr>
    </w:tbl>
    <w:p>
      <w:pPr>
        <w:pStyle w:val="BodyText"/>
      </w:pPr>
      <w:r>
        <w:rPr>
          <w:bCs/>
          <w:b/>
        </w:rPr>
        <w:t xml:space="preserve">The next table (below) shows the top reporting activities.</w:t>
      </w:r>
    </w:p>
    <w:tbl>
      <w:tblPr>
        <w:tblStyle w:val="Table"/>
        <w:tblW w:type="pct" w:w="5000"/>
        <w:tblLook w:firstRow="1" w:lastRow="0" w:firstColumn="0" w:lastColumn="0" w:noHBand="0" w:noVBand="0" w:val="0020"/>
        <w:jc w:val="start"/>
      </w:tblPr>
      <w:tblGrid>
        <w:gridCol w:w="826"/>
        <w:gridCol w:w="609"/>
        <w:gridCol w:w="4134"/>
        <w:gridCol w:w="870"/>
        <w:gridCol w:w="565"/>
        <w:gridCol w:w="391"/>
        <w:gridCol w:w="522"/>
      </w:tblGrid>
      <w:tr>
        <w:trPr>
          <w:tblHeader w:val="true"/>
        </w:trPr>
        <w:tc>
          <w:tcPr/>
          <w:p>
            <w:pPr>
              <w:pStyle w:val="Compact"/>
              <w:jc w:val="left"/>
            </w:pPr>
            <w:r>
              <w:t xml:space="preserve">Award Number</w:t>
            </w:r>
          </w:p>
        </w:tc>
        <w:tc>
          <w:tcPr/>
          <w:p>
            <w:pPr>
              <w:pStyle w:val="Compact"/>
              <w:jc w:val="right"/>
            </w:pPr>
            <w:r>
              <w:t xml:space="preserve">Activity Code</w:t>
            </w:r>
          </w:p>
        </w:tc>
        <w:tc>
          <w:tcPr/>
          <w:p>
            <w:pPr>
              <w:pStyle w:val="Compact"/>
              <w:jc w:val="left"/>
            </w:pPr>
            <w:r>
              <w:t xml:space="preserve">Activity Name</w:t>
            </w:r>
          </w:p>
        </w:tc>
        <w:tc>
          <w:tcPr/>
          <w:p>
            <w:pPr>
              <w:pStyle w:val="Compact"/>
              <w:jc w:val="left"/>
            </w:pPr>
            <w:r>
              <w:t xml:space="preserve">Total Disbursements</w:t>
            </w:r>
          </w:p>
        </w:tc>
        <w:tc>
          <w:tcPr/>
          <w:p>
            <w:pPr>
              <w:pStyle w:val="Compact"/>
              <w:jc w:val="left"/>
            </w:pPr>
            <w:r>
              <w:t xml:space="preserve">Sales</w:t>
            </w:r>
          </w:p>
        </w:tc>
        <w:tc>
          <w:tcPr/>
          <w:p>
            <w:pPr>
              <w:pStyle w:val="Compact"/>
              <w:jc w:val="left"/>
            </w:pPr>
            <w:r>
              <w:t xml:space="preserve">Hectares</w:t>
            </w:r>
          </w:p>
        </w:tc>
        <w:tc>
          <w:tcPr/>
          <w:p>
            <w:pPr>
              <w:pStyle w:val="Compact"/>
              <w:jc w:val="left"/>
            </w:pPr>
            <w:r>
              <w:t xml:space="preserve">PSI</w:t>
            </w:r>
          </w:p>
        </w:tc>
      </w:tr>
      <w:tr>
        <w:tc>
          <w:tcPr/>
          <w:p>
            <w:pPr>
              <w:pStyle w:val="Compact"/>
              <w:jc w:val="left"/>
            </w:pPr>
            <w:r>
              <w:t xml:space="preserve">7200AA19CA00024</w:t>
            </w:r>
          </w:p>
        </w:tc>
        <w:tc>
          <w:tcPr/>
          <w:p>
            <w:pPr>
              <w:pStyle w:val="Compact"/>
              <w:jc w:val="right"/>
            </w:pPr>
            <w:r>
              <w:t xml:space="preserve">1940</w:t>
            </w:r>
          </w:p>
        </w:tc>
        <w:tc>
          <w:tcPr/>
          <w:p>
            <w:pPr>
              <w:pStyle w:val="Compact"/>
              <w:jc w:val="left"/>
            </w:pPr>
            <w:r>
              <w:t xml:space="preserve">ACELI Africa Program (formerly Prosper Africa / CSAF ) GDA APS w/ Global Development Incubator</w:t>
            </w:r>
          </w:p>
        </w:tc>
        <w:tc>
          <w:tcPr/>
          <w:p>
            <w:pPr>
              <w:pStyle w:val="Compact"/>
              <w:jc w:val="left"/>
            </w:pPr>
            <w:r>
              <w:t xml:space="preserve">NA</w:t>
            </w:r>
          </w:p>
        </w:tc>
        <w:tc>
          <w:tcPr/>
          <w:p>
            <w:pPr>
              <w:pStyle w:val="Compact"/>
              <w:jc w:val="left"/>
            </w:pPr>
            <w:r>
              <w:t xml:space="preserve">$501,808,797</w:t>
            </w:r>
          </w:p>
        </w:tc>
        <w:tc>
          <w:tcPr/>
          <w:p>
            <w:pPr>
              <w:pStyle w:val="Compact"/>
              <w:jc w:val="left"/>
            </w:pPr>
            <w:r>
              <w:t xml:space="preserve">NA</w:t>
            </w:r>
          </w:p>
        </w:tc>
        <w:tc>
          <w:tcPr/>
          <w:p>
            <w:pPr>
              <w:pStyle w:val="Compact"/>
              <w:jc w:val="left"/>
            </w:pPr>
            <w:r>
              <w:t xml:space="preserve">$65,000,000</w:t>
            </w:r>
          </w:p>
        </w:tc>
      </w:tr>
      <w:tr>
        <w:tc>
          <w:tcPr/>
          <w:p>
            <w:pPr>
              <w:pStyle w:val="Compact"/>
              <w:jc w:val="left"/>
            </w:pPr>
            <w:r>
              <w:t xml:space="preserve">AID-OAA-A-17-00022</w:t>
            </w:r>
          </w:p>
        </w:tc>
        <w:tc>
          <w:tcPr/>
          <w:p>
            <w:pPr>
              <w:pStyle w:val="Compact"/>
              <w:jc w:val="right"/>
            </w:pPr>
            <w:r>
              <w:t xml:space="preserve">2080</w:t>
            </w:r>
          </w:p>
        </w:tc>
        <w:tc>
          <w:tcPr/>
          <w:p>
            <w:pPr>
              <w:pStyle w:val="Compact"/>
              <w:jc w:val="left"/>
            </w:pPr>
            <w:r>
              <w:t xml:space="preserve">Feed the Future Partnership for Sustainable Supply Chains</w:t>
            </w:r>
          </w:p>
        </w:tc>
        <w:tc>
          <w:tcPr/>
          <w:p>
            <w:pPr>
              <w:pStyle w:val="Compact"/>
              <w:jc w:val="left"/>
            </w:pPr>
            <w:r>
              <w:t xml:space="preserve">NA</w:t>
            </w:r>
          </w:p>
        </w:tc>
        <w:tc>
          <w:tcPr/>
          <w:p>
            <w:pPr>
              <w:pStyle w:val="Compact"/>
              <w:jc w:val="left"/>
            </w:pPr>
            <w:r>
              <w:t xml:space="preserve">$164,786,807</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7200AA18CA00008</w:t>
            </w:r>
          </w:p>
        </w:tc>
        <w:tc>
          <w:tcPr/>
          <w:p>
            <w:pPr>
              <w:pStyle w:val="Compact"/>
              <w:jc w:val="right"/>
            </w:pPr>
            <w:r>
              <w:t xml:space="preserve">2076</w:t>
            </w:r>
          </w:p>
        </w:tc>
        <w:tc>
          <w:tcPr/>
          <w:p>
            <w:pPr>
              <w:pStyle w:val="Compact"/>
              <w:jc w:val="left"/>
            </w:pPr>
            <w:r>
              <w:t xml:space="preserve">Alliance for Inclusive and Nutritious Food Processing</w:t>
            </w:r>
          </w:p>
        </w:tc>
        <w:tc>
          <w:tcPr/>
          <w:p>
            <w:pPr>
              <w:pStyle w:val="Compact"/>
              <w:jc w:val="left"/>
            </w:pPr>
            <w:r>
              <w:t xml:space="preserve">NA</w:t>
            </w:r>
          </w:p>
        </w:tc>
        <w:tc>
          <w:tcPr/>
          <w:p>
            <w:pPr>
              <w:pStyle w:val="Compact"/>
              <w:jc w:val="left"/>
            </w:pPr>
            <w:r>
              <w:t xml:space="preserve">$58,364,092</w:t>
            </w:r>
          </w:p>
        </w:tc>
        <w:tc>
          <w:tcPr/>
          <w:p>
            <w:pPr>
              <w:pStyle w:val="Compact"/>
              <w:jc w:val="left"/>
            </w:pPr>
            <w:r>
              <w:t xml:space="preserve">NA</w:t>
            </w:r>
          </w:p>
        </w:tc>
        <w:tc>
          <w:tcPr/>
          <w:p>
            <w:pPr>
              <w:pStyle w:val="Compact"/>
              <w:jc w:val="left"/>
            </w:pPr>
            <w:r>
              <w:t xml:space="preserve">$1,021,073</w:t>
            </w:r>
          </w:p>
        </w:tc>
      </w:tr>
      <w:tr>
        <w:tc>
          <w:tcPr/>
          <w:p>
            <w:pPr>
              <w:pStyle w:val="Compact"/>
              <w:jc w:val="left"/>
            </w:pPr>
            <w:r>
              <w:t xml:space="preserve">720BFS19CA00001</w:t>
            </w:r>
          </w:p>
        </w:tc>
        <w:tc>
          <w:tcPr/>
          <w:p>
            <w:pPr>
              <w:pStyle w:val="Compact"/>
              <w:jc w:val="right"/>
            </w:pPr>
            <w:r>
              <w:t xml:space="preserve">2090</w:t>
            </w:r>
          </w:p>
        </w:tc>
        <w:tc>
          <w:tcPr/>
          <w:p>
            <w:pPr>
              <w:pStyle w:val="Compact"/>
              <w:jc w:val="left"/>
            </w:pPr>
            <w:r>
              <w:t xml:space="preserve">Feed the Future Business Drivers for Food Safety (BD4FS)</w:t>
            </w:r>
          </w:p>
        </w:tc>
        <w:tc>
          <w:tcPr/>
          <w:p>
            <w:pPr>
              <w:pStyle w:val="Compact"/>
              <w:jc w:val="left"/>
            </w:pPr>
            <w:r>
              <w:t xml:space="preserve">NA</w:t>
            </w:r>
          </w:p>
        </w:tc>
        <w:tc>
          <w:tcPr/>
          <w:p>
            <w:pPr>
              <w:pStyle w:val="Compact"/>
              <w:jc w:val="left"/>
            </w:pPr>
            <w:r>
              <w:t xml:space="preserve">$36,935,883</w:t>
            </w:r>
          </w:p>
        </w:tc>
        <w:tc>
          <w:tcPr/>
          <w:p>
            <w:pPr>
              <w:pStyle w:val="Compact"/>
              <w:jc w:val="left"/>
            </w:pPr>
            <w:r>
              <w:t xml:space="preserve">NA</w:t>
            </w:r>
          </w:p>
        </w:tc>
        <w:tc>
          <w:tcPr/>
          <w:p>
            <w:pPr>
              <w:pStyle w:val="Compact"/>
              <w:jc w:val="left"/>
            </w:pPr>
            <w:r>
              <w:t xml:space="preserve">NA</w:t>
            </w:r>
          </w:p>
        </w:tc>
      </w:tr>
      <w:tr>
        <w:tc>
          <w:tcPr/>
          <w:p>
            <w:pPr>
              <w:pStyle w:val="Compact"/>
              <w:jc w:val="left"/>
            </w:pPr>
            <w:r>
              <w:t xml:space="preserve">7200AA21CA00022</w:t>
            </w:r>
          </w:p>
        </w:tc>
        <w:tc>
          <w:tcPr/>
          <w:p>
            <w:pPr>
              <w:pStyle w:val="Compact"/>
              <w:jc w:val="right"/>
            </w:pPr>
            <w:r>
              <w:t xml:space="preserve">4606</w:t>
            </w:r>
          </w:p>
        </w:tc>
        <w:tc>
          <w:tcPr/>
          <w:p>
            <w:pPr>
              <w:pStyle w:val="Compact"/>
              <w:jc w:val="left"/>
            </w:pPr>
            <w:r>
              <w:t xml:space="preserve">CA: Feed the Future Insect-Resistant Eggplant Partnership</w:t>
            </w:r>
          </w:p>
        </w:tc>
        <w:tc>
          <w:tcPr/>
          <w:p>
            <w:pPr>
              <w:pStyle w:val="Compact"/>
              <w:jc w:val="left"/>
            </w:pPr>
            <w:r>
              <w:t xml:space="preserve">NA</w:t>
            </w:r>
          </w:p>
        </w:tc>
        <w:tc>
          <w:tcPr/>
          <w:p>
            <w:pPr>
              <w:pStyle w:val="Compact"/>
              <w:jc w:val="left"/>
            </w:pPr>
            <w:r>
              <w:t xml:space="preserve">$12,383,945</w:t>
            </w:r>
          </w:p>
        </w:tc>
        <w:tc>
          <w:tcPr/>
          <w:p>
            <w:pPr>
              <w:pStyle w:val="Compact"/>
              <w:jc w:val="left"/>
            </w:pPr>
            <w:r>
              <w:t xml:space="preserve">NA</w:t>
            </w:r>
          </w:p>
        </w:tc>
        <w:tc>
          <w:tcPr/>
          <w:p>
            <w:pPr>
              <w:pStyle w:val="Compact"/>
              <w:jc w:val="left"/>
            </w:pPr>
            <w:r>
              <w:t xml:space="preserve">NA</w:t>
            </w:r>
          </w:p>
        </w:tc>
      </w:tr>
    </w:tbl>
    <w:p>
      <w:pPr>
        <w:pStyle w:val="BodyText"/>
      </w:pPr>
    </w:p>
    <w:bookmarkStart w:id="72" w:name="X6bf35fcf399504971a88dce13699a136f09fe4a"/>
    <w:p>
      <w:pPr>
        <w:pStyle w:val="Heading3"/>
      </w:pPr>
      <w:r>
        <w:t xml:space="preserve">Appendix 1: Response to</w:t>
      </w:r>
      <w:r>
        <w:t xml:space="preserve"> </w:t>
      </w:r>
      <w:r>
        <w:t xml:space="preserve">“</w:t>
      </w:r>
      <w:r>
        <w:t xml:space="preserve">Not on track</w:t>
      </w:r>
      <w:r>
        <w:t xml:space="preserve">”</w:t>
      </w:r>
      <w:r>
        <w:t xml:space="preserve"> </w:t>
      </w:r>
      <w:r>
        <w:t xml:space="preserve">Performance Targets</w:t>
      </w:r>
    </w:p>
    <w:p>
      <w:pPr>
        <w:pStyle w:val="FirstParagraph"/>
      </w:pPr>
      <w:r>
        <w:t xml:space="preserve">This section provides space for Bureau for Resilience and Food Security to provide an explanation of why the following PTs are not on track and how you could adjust to be on track in the coming year(s). To help in your response(s), the relevant section of the FTF/GFS Key Issue Narrative (KIN) is provided, as it</w:t>
      </w:r>
      <w:r>
        <w:t xml:space="preserve"> </w:t>
      </w:r>
      <w:r>
        <w:rPr>
          <w:iCs/>
          <w:i/>
        </w:rPr>
        <w:t xml:space="preserve">may be</w:t>
      </w:r>
      <w:r>
        <w:t xml:space="preserve"> </w:t>
      </w:r>
      <w:r>
        <w:t xml:space="preserve">useful in drafting a responses. Note that the KIN is addressing the sum of the out year targets (FY 2023) set by the Bureau for Resilience and Food Security activities that are reporting on each PT. The FY 2023 out year targets were set prior to the establishment of the FY 2030 Performance Targets, so the below explanations from the KIN may not apply to the Performance Target deviation.</w:t>
      </w:r>
    </w:p>
    <w:p>
      <w:pPr>
        <w:numPr>
          <w:ilvl w:val="0"/>
          <w:numId w:val="1001"/>
        </w:numPr>
      </w:pPr>
      <w:r>
        <w:t xml:space="preserve">In Section 4 of the FTF KIN, your OU discusses FY24 and FY25 targets, while these Scorecards are addressing progress against a trajectory from historical reporting to your OU’s FY30 target.  Also, the FY 2023 out year targets were set prior to the establishment of the FY 2030 Performance Targets.  Therefore, the below explanations from the KIN may not apply to these FY30 Performance Target deviations.</w:t>
      </w:r>
    </w:p>
    <w:p>
      <w:pPr>
        <w:numPr>
          <w:ilvl w:val="0"/>
          <w:numId w:val="1001"/>
        </w:numPr>
      </w:pPr>
      <w:r>
        <w:t xml:space="preserve">These responses will be used to compile a Congressional report, the GFSS Implementation Report, to discuss progress against the FTF FY 2030 Performance Targets, as mandated by the GAO.</w:t>
      </w:r>
    </w:p>
    <w:p>
      <w:pPr>
        <w:numPr>
          <w:ilvl w:val="0"/>
          <w:numId w:val="1001"/>
        </w:numPr>
      </w:pPr>
      <w:r>
        <w:t xml:space="preserve">Only PTs that are</w:t>
      </w:r>
      <w:r>
        <w:t xml:space="preserve"> </w:t>
      </w:r>
      <w:r>
        <w:t xml:space="preserve">‘</w:t>
      </w:r>
      <w:r>
        <w:t xml:space="preserve">Not on Track</w:t>
      </w:r>
      <w:r>
        <w:t xml:space="preserve">’</w:t>
      </w:r>
      <w:r>
        <w:t xml:space="preserve"> </w:t>
      </w:r>
      <w:r>
        <w:t xml:space="preserve">require review and explanation from the OU.</w:t>
      </w:r>
    </w:p>
    <w:bookmarkEnd w:id="72"/>
    <w:bookmarkEnd w:id="73"/>
    <w:bookmarkEnd w:id="74"/>
    <w:sectPr w:rsidR="005D705A" w:rsidRPr="005D705A" w:rsidSect="00555208">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514DC" w14:textId="77777777" w:rsidR="00C159BC" w:rsidRDefault="00C159B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D7BF4" w14:textId="07C08F98" w:rsidR="0059508C" w:rsidRDefault="00890C82" w:rsidP="00890C82">
    <w:pPr>
      <w:pStyle w:val="Footer"/>
    </w:pPr>
    <w:r w:rsidRPr="00CF0E78">
      <mc:AlternateContent>
        <mc:Choice Requires="wps">
          <w:drawing>
            <wp:anchor distT="0" distB="0" distL="114300" distR="114300" simplePos="0" relativeHeight="251658239" behindDoc="0" locked="0" layoutInCell="1" allowOverlap="1" wp14:anchorId="22F23042" wp14:editId="6EAE15D4">
              <wp:simplePos x="0" y="0"/>
              <wp:positionH relativeFrom="page">
                <wp:align>right</wp:align>
              </wp:positionH>
              <wp:positionV relativeFrom="paragraph">
                <wp:posOffset>5907</wp:posOffset>
              </wp:positionV>
              <wp:extent cx="7802245" cy="625738"/>
              <wp:effectExtent l="0" t="0" r="8255" b="3175"/>
              <wp:wrapNone/>
              <wp:docPr id="176871852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02245" cy="625738"/>
                      </a:xfrm>
                      <a:prstGeom prst="rect">
                        <a:avLst/>
                      </a:prstGeom>
                      <a:solidFill>
                        <a:srgbClr val="8C89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50F4EA" id="Rectangle 4" o:spid="_x0000_s1026" style="position:absolute;margin-left:563.15pt;margin-top:.45pt;width:614.35pt;height:49.25pt;z-index:251658239;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" fillcolor="#8c8985" stroked="f">
              <w10:wrap anchorx="page"/>
            </v:rect>
          </w:pict>
        </mc:Fallback>
      </mc:AlternateContent>
    </w:r>
    <w:r>
      <w:drawing>
        <wp:anchor distT="0" distB="0" distL="114300" distR="114300" simplePos="0" relativeHeight="251660288" behindDoc="0" locked="0" layoutInCell="1" allowOverlap="1" wp14:anchorId="32E2DB40" wp14:editId="05552B7D">
          <wp:simplePos x="0" y="0"/>
          <wp:positionH relativeFrom="column">
            <wp:posOffset>1609090</wp:posOffset>
          </wp:positionH>
          <wp:positionV relativeFrom="paragraph">
            <wp:posOffset>-5979</wp:posOffset>
          </wp:positionV>
          <wp:extent cx="3631565" cy="634365"/>
          <wp:effectExtent l="0" t="0" r="6985" b="0"/>
          <wp:wrapThrough wrapText="bothSides">
            <wp:wrapPolygon edited="0">
              <wp:start x="1473" y="0"/>
              <wp:lineTo x="340" y="4541"/>
              <wp:lineTo x="0" y="7135"/>
              <wp:lineTo x="0" y="16216"/>
              <wp:lineTo x="680" y="20108"/>
              <wp:lineTo x="1473" y="20757"/>
              <wp:lineTo x="13823" y="20757"/>
              <wp:lineTo x="21528" y="19459"/>
              <wp:lineTo x="21528" y="1946"/>
              <wp:lineTo x="2153" y="0"/>
              <wp:lineTo x="1473" y="0"/>
            </wp:wrapPolygon>
          </wp:wrapThrough>
          <wp:docPr id="789269729"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967508" name="Picture 6"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3631565" cy="634365"/>
                  </a:xfrm>
                  <a:prstGeom prst="rect">
                    <a:avLst/>
                  </a:prstGeom>
                </pic:spPr>
              </pic:pic>
            </a:graphicData>
          </a:graphic>
          <wp14:sizeRelH relativeFrom="page">
            <wp14:pctWidth>0</wp14:pctWidth>
          </wp14:sizeRelH>
          <wp14:sizeRelV relativeFrom="page">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DA5295" w14:textId="77777777" w:rsidR="00C159BC" w:rsidRDefault="00C159BC">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810CDB" w14:textId="77777777" w:rsidR="00C159BC" w:rsidRDefault="00C159BC" w:rsidP="00C159B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F6748" w14:textId="64C81A65" w:rsidR="0095186D" w:rsidRPr="00F839FB" w:rsidRDefault="008A113B" w:rsidP="00C159BC">
    <w:pPr>
      <w:pStyle w:val="Header"/>
    </w:pPr>
    <w:r w:rsidRPr="00C159BC">
      <w:drawing>
        <wp:anchor distT="0" distB="0" distL="114300" distR="114300" simplePos="0" relativeHeight="251661312" behindDoc="1" locked="0" layoutInCell="1" allowOverlap="1" wp14:anchorId="6BA9710A" wp14:editId="000E1BB5">
          <wp:simplePos x="0" y="0"/>
          <wp:positionH relativeFrom="column">
            <wp:posOffset>7458</wp:posOffset>
          </wp:positionH>
          <wp:positionV relativeFrom="paragraph">
            <wp:posOffset>-222885</wp:posOffset>
          </wp:positionV>
          <wp:extent cx="1733550" cy="510540"/>
          <wp:effectExtent l="0" t="0" r="0" b="3810"/>
          <wp:wrapNone/>
          <wp:docPr id="859012756" name="Picture 2" descr="USAID logo with USAID seal on the left and USAID statement on bottom stating &quot;From the American People&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AID logo with USAID seal on the left and USAID statement on bottom stating &quot;From the American People&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33550" cy="510540"/>
                  </a:xfrm>
                  <a:prstGeom prst="rect">
                    <a:avLst/>
                  </a:prstGeom>
                  <a:noFill/>
                  <a:ln>
                    <a:noFill/>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1A139" w14:textId="77777777" w:rsidR="00C159BC" w:rsidRDefault="00C159BC" w:rsidP="00C159BC">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000A990"/>
    <w:multiLevelType w:val="multilevel"/>
    <w:tmpl w:val="B7BC5D0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637762178" w:numId="1">
    <w:abstractNumId w:val="0"/>
  </w:num>
  <w:num w16cid:durableId="1548834929" w:numId="2">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Heading2"/>
    <w:next w:val="BodyText"/>
    <w:uiPriority w:val="9"/>
    <w:qFormat/>
    <w:rsid w:val="00B81B1C"/>
    <w:pPr>
      <w:outlineLvl w:val="0"/>
    </w:pPr>
    <w:rPr>
      <w:color w:val="BA0C2F"/>
      <w:sz w:val="36"/>
      <w:szCs w:val="36"/>
    </w:rPr>
  </w:style>
  <w:style w:styleId="Heading2" w:type="paragraph">
    <w:name w:val="heading 2"/>
    <w:basedOn w:val="Normal"/>
    <w:next w:val="BodyText"/>
    <w:uiPriority w:val="9"/>
    <w:unhideWhenUsed/>
    <w:qFormat/>
    <w:rsid w:val="005E246B"/>
    <w:pPr>
      <w:keepNext/>
      <w:keepLines/>
      <w:spacing w:after="0" w:before="200"/>
      <w:jc w:val="both"/>
      <w:outlineLvl w:val="1"/>
    </w:pPr>
    <w:rPr>
      <w:rFonts w:ascii="Gill Sans MT" w:cstheme="majorBidi" w:eastAsiaTheme="majorEastAsia" w:hAnsi="Gill Sans MT"/>
      <w:b/>
      <w:bCs/>
      <w:color w:val="C00000"/>
      <w:sz w:val="28"/>
      <w:szCs w:val="28"/>
    </w:rPr>
  </w:style>
  <w:style w:styleId="Heading3" w:type="paragraph">
    <w:name w:val="heading 3"/>
    <w:basedOn w:val="Heading1"/>
    <w:next w:val="BodyText"/>
    <w:uiPriority w:val="9"/>
    <w:unhideWhenUsed/>
    <w:qFormat/>
    <w:rsid w:val="00B81B1C"/>
    <w:pPr>
      <w:pageBreakBefore/>
      <w:outlineLvl w:val="2"/>
    </w:pPr>
    <w:rPr>
      <w:sz w:val="32"/>
      <w:szCs w:val="3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Heading3"/>
    <w:next w:val="BodyText"/>
    <w:uiPriority w:val="9"/>
    <w:unhideWhenUsed/>
    <w:qFormat/>
    <w:rsid w:val="00A563E9"/>
    <w:pPr>
      <w:outlineLvl w:val="5"/>
    </w:pPr>
    <w:rPr>
      <w:sz w:val="28"/>
      <w:szCs w:val="28"/>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EE0252"/>
    <w:pPr>
      <w:spacing w:after="180" w:before="180"/>
      <w:jc w:val="both"/>
    </w:pPr>
    <w:rPr>
      <w:rFonts w:ascii="Gill Sans MT" w:cs="Times New Roman" w:hAnsi="Gill Sans MT"/>
    </w:rPr>
  </w:style>
  <w:style w:customStyle="1" w:styleId="FirstParagraph" w:type="paragraph">
    <w:name w:val="First Paragraph"/>
    <w:basedOn w:val="BodyText"/>
    <w:next w:val="BodyText"/>
    <w:qFormat/>
    <w:rsid w:val="00D15A4A"/>
  </w:style>
  <w:style w:customStyle="1" w:styleId="Compact" w:type="paragraph">
    <w:name w:val="Compact"/>
    <w:basedOn w:val="BodyText"/>
    <w:qFormat/>
    <w:pPr>
      <w:spacing w:after="36" w:before="36"/>
    </w:pPr>
  </w:style>
  <w:style w:styleId="Title" w:type="paragraph">
    <w:name w:val="Title"/>
    <w:basedOn w:val="Normal"/>
    <w:next w:val="BodyText"/>
    <w:qFormat/>
    <w:rsid w:val="00D15A4A"/>
    <w:pPr>
      <w:keepNext/>
      <w:keepLines/>
      <w:spacing w:after="240" w:before="480"/>
      <w:jc w:val="center"/>
    </w:pPr>
    <w:rPr>
      <w:rFonts w:ascii="Gill Sans MT" w:cstheme="majorBidi" w:eastAsiaTheme="majorEastAsia" w:hAnsi="Gill Sans MT"/>
      <w:b/>
      <w:bCs/>
      <w:color w:val="00206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F72B0"/>
    <w:pPr>
      <w:keepNext/>
      <w:keepLines/>
    </w:pPr>
    <w:rPr>
      <w:rFonts w:ascii="Gill Sans MT" w:cs="Times New Roman" w:hAnsi="Gill Sans MT"/>
    </w:rPr>
  </w:style>
  <w:style w:styleId="Date" w:type="paragraph">
    <w:name w:val="Date"/>
    <w:next w:val="BodyText"/>
    <w:qFormat/>
    <w:rsid w:val="004F72B0"/>
    <w:pPr>
      <w:keepNext/>
      <w:keepLines/>
    </w:pPr>
    <w:rPr>
      <w:rFonts w:ascii="Gill Sans MT" w:hAnsi="Gill Sans MT"/>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2616B"/>
    <w:rPr>
      <w:rFonts w:ascii="Courier New" w:cs="Courier New" w:hAnsi="Courier New"/>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BodyText"/>
    <w:link w:val="VerbatimChar"/>
    <w:rsid w:val="00E2616B"/>
    <w:rPr>
      <w:rFonts w:ascii="Courier New" w:cs="Courier New" w:hAnsi="Courier New"/>
    </w:rPr>
  </w:style>
  <w:style w:customStyle="1" w:styleId="KeywordTok" w:type="character">
    <w:name w:val="KeywordTok"/>
    <w:basedOn w:val="VerbatimChar"/>
    <w:rPr>
      <w:rFonts w:ascii="Courier New" w:cs="Courier New" w:hAnsi="Courier New"/>
      <w:b/>
      <w:color w:val="204A87"/>
      <w:shd w:color="auto" w:fill="F8F8F8" w:val="clear"/>
    </w:rPr>
  </w:style>
  <w:style w:customStyle="1" w:styleId="DataTypeTok" w:type="character">
    <w:name w:val="DataTypeTok"/>
    <w:basedOn w:val="VerbatimChar"/>
    <w:rPr>
      <w:rFonts w:ascii="Courier New" w:cs="Courier New" w:hAnsi="Courier New"/>
      <w:color w:val="204A87"/>
      <w:shd w:color="auto" w:fill="F8F8F8" w:val="clear"/>
    </w:rPr>
  </w:style>
  <w:style w:customStyle="1" w:styleId="DecValTok" w:type="character">
    <w:name w:val="DecValTok"/>
    <w:basedOn w:val="VerbatimChar"/>
    <w:rPr>
      <w:rFonts w:ascii="Courier New" w:cs="Courier New" w:hAnsi="Courier New"/>
      <w:color w:val="0000CF"/>
      <w:shd w:color="auto" w:fill="F8F8F8" w:val="clear"/>
    </w:rPr>
  </w:style>
  <w:style w:customStyle="1" w:styleId="BaseNTok" w:type="character">
    <w:name w:val="BaseNTok"/>
    <w:basedOn w:val="VerbatimChar"/>
    <w:rPr>
      <w:rFonts w:ascii="Courier New" w:cs="Courier New" w:hAnsi="Courier New"/>
      <w:color w:val="0000CF"/>
      <w:shd w:color="auto" w:fill="F8F8F8" w:val="clear"/>
    </w:rPr>
  </w:style>
  <w:style w:customStyle="1" w:styleId="FloatTok" w:type="character">
    <w:name w:val="FloatTok"/>
    <w:basedOn w:val="VerbatimChar"/>
    <w:rPr>
      <w:rFonts w:ascii="Courier New" w:cs="Courier New" w:hAnsi="Courier New"/>
      <w:color w:val="0000CF"/>
      <w:shd w:color="auto" w:fill="F8F8F8" w:val="clear"/>
    </w:rPr>
  </w:style>
  <w:style w:customStyle="1" w:styleId="ConstantTok" w:type="character">
    <w:name w:val="ConstantTok"/>
    <w:basedOn w:val="VerbatimChar"/>
    <w:rPr>
      <w:rFonts w:ascii="Courier New" w:cs="Courier New" w:hAnsi="Courier New"/>
      <w:color w:val="8F5902"/>
      <w:shd w:color="auto" w:fill="F8F8F8" w:val="clear"/>
    </w:rPr>
  </w:style>
  <w:style w:customStyle="1" w:styleId="CharTok" w:type="character">
    <w:name w:val="CharTok"/>
    <w:basedOn w:val="VerbatimChar"/>
    <w:rPr>
      <w:rFonts w:ascii="Courier New" w:cs="Courier New" w:hAnsi="Courier New"/>
      <w:color w:val="4E9A06"/>
      <w:shd w:color="auto" w:fill="F8F8F8" w:val="clear"/>
    </w:rPr>
  </w:style>
  <w:style w:customStyle="1" w:styleId="SpecialCharTok" w:type="character">
    <w:name w:val="SpecialCharTok"/>
    <w:basedOn w:val="VerbatimChar"/>
    <w:rPr>
      <w:rFonts w:ascii="Courier New" w:cs="Courier New" w:hAnsi="Courier New"/>
      <w:b/>
      <w:color w:val="CE5C00"/>
      <w:shd w:color="auto" w:fill="F8F8F8" w:val="clear"/>
    </w:rPr>
  </w:style>
  <w:style w:customStyle="1" w:styleId="StringTok" w:type="character">
    <w:name w:val="StringTok"/>
    <w:basedOn w:val="VerbatimChar"/>
    <w:rPr>
      <w:rFonts w:ascii="Courier New" w:cs="Courier New" w:hAnsi="Courier New"/>
      <w:color w:val="4E9A06"/>
      <w:shd w:color="auto" w:fill="F8F8F8" w:val="clear"/>
    </w:rPr>
  </w:style>
  <w:style w:customStyle="1" w:styleId="VerbatimStringTok" w:type="character">
    <w:name w:val="VerbatimStringTok"/>
    <w:basedOn w:val="VerbatimChar"/>
    <w:rPr>
      <w:rFonts w:ascii="Courier New" w:cs="Courier New" w:hAnsi="Courier New"/>
      <w:color w:val="4E9A06"/>
      <w:shd w:color="auto" w:fill="F8F8F8" w:val="clear"/>
    </w:rPr>
  </w:style>
  <w:style w:customStyle="1" w:styleId="SpecialStringTok" w:type="character">
    <w:name w:val="SpecialStringTok"/>
    <w:basedOn w:val="VerbatimChar"/>
    <w:rPr>
      <w:rFonts w:ascii="Courier New" w:cs="Courier New" w:hAnsi="Courier New"/>
      <w:color w:val="4E9A06"/>
      <w:shd w:color="auto" w:fill="F8F8F8" w:val="clear"/>
    </w:rPr>
  </w:style>
  <w:style w:customStyle="1" w:styleId="ImportTok" w:type="character">
    <w:name w:val="ImportTok"/>
    <w:basedOn w:val="VerbatimChar"/>
    <w:rPr>
      <w:rFonts w:ascii="Courier New" w:cs="Courier New" w:hAnsi="Courier New"/>
      <w:shd w:color="auto" w:fill="F8F8F8" w:val="clear"/>
    </w:rPr>
  </w:style>
  <w:style w:customStyle="1" w:styleId="CommentTok" w:type="character">
    <w:name w:val="CommentTok"/>
    <w:basedOn w:val="VerbatimChar"/>
    <w:rPr>
      <w:rFonts w:ascii="Courier New" w:cs="Courier New" w:hAnsi="Courier New"/>
      <w:i/>
      <w:color w:val="8F5902"/>
      <w:shd w:color="auto" w:fill="F8F8F8" w:val="clear"/>
    </w:rPr>
  </w:style>
  <w:style w:customStyle="1" w:styleId="DocumentationTok" w:type="character">
    <w:name w:val="DocumentationTok"/>
    <w:basedOn w:val="VerbatimChar"/>
    <w:rPr>
      <w:rFonts w:ascii="Courier New" w:cs="Courier New" w:hAnsi="Courier New"/>
      <w:b/>
      <w:i/>
      <w:color w:val="8F5902"/>
      <w:shd w:color="auto" w:fill="F8F8F8" w:val="clear"/>
    </w:rPr>
  </w:style>
  <w:style w:customStyle="1" w:styleId="AnnotationTok" w:type="character">
    <w:name w:val="AnnotationTok"/>
    <w:basedOn w:val="VerbatimChar"/>
    <w:rPr>
      <w:rFonts w:ascii="Courier New" w:cs="Courier New" w:hAnsi="Courier New"/>
      <w:b/>
      <w:i/>
      <w:color w:val="8F5902"/>
      <w:shd w:color="auto" w:fill="F8F8F8" w:val="clear"/>
    </w:rPr>
  </w:style>
  <w:style w:customStyle="1" w:styleId="CommentVarTok" w:type="character">
    <w:name w:val="CommentVarTok"/>
    <w:basedOn w:val="VerbatimChar"/>
    <w:rPr>
      <w:rFonts w:ascii="Courier New" w:cs="Courier New" w:hAnsi="Courier New"/>
      <w:b/>
      <w:i/>
      <w:color w:val="8F5902"/>
      <w:shd w:color="auto" w:fill="F8F8F8" w:val="clear"/>
    </w:rPr>
  </w:style>
  <w:style w:customStyle="1" w:styleId="OtherTok" w:type="character">
    <w:name w:val="OtherTok"/>
    <w:basedOn w:val="VerbatimChar"/>
    <w:rPr>
      <w:rFonts w:ascii="Courier New" w:cs="Courier New" w:hAnsi="Courier New"/>
      <w:color w:val="8F5902"/>
      <w:shd w:color="auto" w:fill="F8F8F8" w:val="clear"/>
    </w:rPr>
  </w:style>
  <w:style w:customStyle="1" w:styleId="FunctionTok" w:type="character">
    <w:name w:val="FunctionTok"/>
    <w:basedOn w:val="VerbatimChar"/>
    <w:rPr>
      <w:rFonts w:ascii="Courier New" w:cs="Courier New" w:hAnsi="Courier New"/>
      <w:b/>
      <w:color w:val="204A87"/>
      <w:shd w:color="auto" w:fill="F8F8F8" w:val="clear"/>
    </w:rPr>
  </w:style>
  <w:style w:customStyle="1" w:styleId="VariableTok" w:type="character">
    <w:name w:val="VariableTok"/>
    <w:basedOn w:val="VerbatimChar"/>
    <w:rPr>
      <w:rFonts w:ascii="Courier New" w:cs="Courier New" w:hAnsi="Courier New"/>
      <w:color w:val="000000"/>
      <w:shd w:color="auto" w:fill="F8F8F8" w:val="clear"/>
    </w:rPr>
  </w:style>
  <w:style w:customStyle="1" w:styleId="ControlFlowTok" w:type="character">
    <w:name w:val="ControlFlowTok"/>
    <w:basedOn w:val="VerbatimChar"/>
    <w:rPr>
      <w:rFonts w:ascii="Courier New" w:cs="Courier New" w:hAnsi="Courier New"/>
      <w:b/>
      <w:color w:val="204A87"/>
      <w:shd w:color="auto" w:fill="F8F8F8" w:val="clear"/>
    </w:rPr>
  </w:style>
  <w:style w:customStyle="1" w:styleId="OperatorTok" w:type="character">
    <w:name w:val="OperatorTok"/>
    <w:basedOn w:val="VerbatimChar"/>
    <w:rPr>
      <w:rFonts w:ascii="Courier New" w:cs="Courier New" w:hAnsi="Courier New"/>
      <w:b/>
      <w:color w:val="CE5C00"/>
      <w:shd w:color="auto" w:fill="F8F8F8" w:val="clear"/>
    </w:rPr>
  </w:style>
  <w:style w:customStyle="1" w:styleId="BuiltInTok" w:type="character">
    <w:name w:val="BuiltInTok"/>
    <w:basedOn w:val="VerbatimChar"/>
    <w:rPr>
      <w:rFonts w:ascii="Courier New" w:cs="Courier New" w:hAnsi="Courier New"/>
      <w:shd w:color="auto" w:fill="F8F8F8" w:val="clear"/>
    </w:rPr>
  </w:style>
  <w:style w:customStyle="1" w:styleId="ExtensionTok" w:type="character">
    <w:name w:val="ExtensionTok"/>
    <w:basedOn w:val="VerbatimChar"/>
    <w:rPr>
      <w:rFonts w:ascii="Courier New" w:cs="Courier New" w:hAnsi="Courier New"/>
      <w:shd w:color="auto" w:fill="F8F8F8" w:val="clear"/>
    </w:rPr>
  </w:style>
  <w:style w:customStyle="1" w:styleId="PreprocessorTok" w:type="character">
    <w:name w:val="PreprocessorTok"/>
    <w:basedOn w:val="VerbatimChar"/>
    <w:rPr>
      <w:rFonts w:ascii="Courier New" w:cs="Courier New" w:hAnsi="Courier New"/>
      <w:i/>
      <w:color w:val="8F5902"/>
      <w:shd w:color="auto" w:fill="F8F8F8" w:val="clear"/>
    </w:rPr>
  </w:style>
  <w:style w:customStyle="1" w:styleId="AttributeTok" w:type="character">
    <w:name w:val="AttributeTok"/>
    <w:basedOn w:val="VerbatimChar"/>
    <w:rPr>
      <w:rFonts w:ascii="Courier New" w:cs="Courier New" w:hAnsi="Courier New"/>
      <w:color w:val="204A87"/>
      <w:shd w:color="auto" w:fill="F8F8F8" w:val="clear"/>
    </w:rPr>
  </w:style>
  <w:style w:customStyle="1" w:styleId="RegionMarkerTok" w:type="character">
    <w:name w:val="RegionMarkerTok"/>
    <w:basedOn w:val="VerbatimChar"/>
    <w:rPr>
      <w:rFonts w:ascii="Courier New" w:cs="Courier New" w:hAnsi="Courier New"/>
      <w:shd w:color="auto" w:fill="F8F8F8" w:val="clear"/>
    </w:rPr>
  </w:style>
  <w:style w:customStyle="1" w:styleId="InformationTok" w:type="character">
    <w:name w:val="InformationTok"/>
    <w:basedOn w:val="VerbatimChar"/>
    <w:rPr>
      <w:rFonts w:ascii="Courier New" w:cs="Courier New" w:hAnsi="Courier New"/>
      <w:b/>
      <w:i/>
      <w:color w:val="8F5902"/>
      <w:shd w:color="auto" w:fill="F8F8F8" w:val="clear"/>
    </w:rPr>
  </w:style>
  <w:style w:customStyle="1" w:styleId="WarningTok" w:type="character">
    <w:name w:val="WarningTok"/>
    <w:basedOn w:val="VerbatimChar"/>
    <w:rPr>
      <w:rFonts w:ascii="Courier New" w:cs="Courier New" w:hAnsi="Courier New"/>
      <w:b/>
      <w:i/>
      <w:color w:val="8F5902"/>
      <w:shd w:color="auto" w:fill="F8F8F8" w:val="clear"/>
    </w:rPr>
  </w:style>
  <w:style w:customStyle="1" w:styleId="AlertTok" w:type="character">
    <w:name w:val="AlertTok"/>
    <w:basedOn w:val="VerbatimChar"/>
    <w:rPr>
      <w:rFonts w:ascii="Courier New" w:cs="Courier New" w:hAnsi="Courier New"/>
      <w:color w:val="EF2929"/>
      <w:shd w:color="auto" w:fill="F8F8F8" w:val="clear"/>
    </w:rPr>
  </w:style>
  <w:style w:customStyle="1" w:styleId="ErrorTok" w:type="character">
    <w:name w:val="ErrorTok"/>
    <w:basedOn w:val="VerbatimChar"/>
    <w:rPr>
      <w:rFonts w:ascii="Courier New" w:cs="Courier New" w:hAnsi="Courier New"/>
      <w:b/>
      <w:color w:val="A40000"/>
      <w:shd w:color="auto" w:fill="F8F8F8" w:val="clear"/>
    </w:rPr>
  </w:style>
  <w:style w:customStyle="1" w:styleId="NormalTok" w:type="character">
    <w:name w:val="NormalTok"/>
    <w:basedOn w:val="VerbatimChar"/>
    <w:rPr>
      <w:rFonts w:ascii="Courier New" w:cs="Courier New" w:hAnsi="Courier New"/>
      <w:shd w:color="auto" w:fill="F8F8F8" w:val="clear"/>
    </w:rPr>
  </w:style>
  <w:style w:styleId="Header" w:type="paragraph">
    <w:name w:val="header"/>
    <w:basedOn w:val="Normal"/>
    <w:link w:val="HeaderChar"/>
    <w:rsid w:val="00C159BC"/>
    <w:pPr>
      <w:tabs>
        <w:tab w:pos="4680" w:val="center"/>
        <w:tab w:pos="9360" w:val="right"/>
      </w:tabs>
      <w:spacing w:after="0"/>
    </w:pPr>
    <w:rPr>
      <w:rFonts w:ascii="Arial" w:cs="Arial" w:hAnsi="Arial"/>
      <w:b/>
      <w:bCs/>
      <w:noProof/>
      <w:color w:val="0067B9"/>
      <w:sz w:val="36"/>
      <w:szCs w:val="36"/>
      <w:bdr w:color="auto" w:frame="1" w:space="0" w:sz="0" w:val="none"/>
    </w:rPr>
  </w:style>
  <w:style w:customStyle="1" w:styleId="HeaderChar" w:type="character">
    <w:name w:val="Header Char"/>
    <w:basedOn w:val="DefaultParagraphFont"/>
    <w:link w:val="Header"/>
    <w:rsid w:val="00C159BC"/>
    <w:rPr>
      <w:rFonts w:ascii="Arial" w:cs="Arial" w:hAnsi="Arial"/>
      <w:b/>
      <w:bCs/>
      <w:noProof/>
      <w:color w:val="0067B9"/>
      <w:sz w:val="36"/>
      <w:szCs w:val="36"/>
      <w:bdr w:color="auto" w:frame="1" w:space="0" w:sz="0" w:val="none"/>
    </w:rPr>
  </w:style>
  <w:style w:styleId="Footer" w:type="paragraph">
    <w:name w:val="footer"/>
    <w:basedOn w:val="Normal"/>
    <w:link w:val="FooterChar"/>
    <w:uiPriority w:val="99"/>
    <w:rsid w:val="00890C82"/>
    <w:pPr>
      <w:tabs>
        <w:tab w:pos="4680" w:val="center"/>
        <w:tab w:pos="9360" w:val="right"/>
      </w:tabs>
      <w:spacing w:after="0"/>
      <w:jc w:val="center"/>
    </w:pPr>
    <w:rPr>
      <w:noProof/>
    </w:rPr>
  </w:style>
  <w:style w:customStyle="1" w:styleId="FooterChar" w:type="character">
    <w:name w:val="Footer Char"/>
    <w:basedOn w:val="DefaultParagraphFont"/>
    <w:link w:val="Footer"/>
    <w:uiPriority w:val="99"/>
    <w:rsid w:val="00890C82"/>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49" Target="media/rId49.png" /><Relationship Type="http://schemas.openxmlformats.org/officeDocument/2006/relationships/image" Id="rId67" Target="media/rId67.png" /><Relationship Type="http://schemas.openxmlformats.org/officeDocument/2006/relationships/image" Id="rId38" Target="media/rId38.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2" Target="media/rId42.png" /><Relationship Type="http://schemas.openxmlformats.org/officeDocument/2006/relationships/image" Id="rId56" Target="media/rId56.png" /><Relationship Type="http://schemas.openxmlformats.org/officeDocument/2006/relationships/image" Id="rId59" Target="media/rId59.png" /><Relationship Type="http://schemas.openxmlformats.org/officeDocument/2006/relationships/image" Id="rId23" Target="media/rId23.png" /><Relationship Type="http://schemas.openxmlformats.org/officeDocument/2006/relationships/image" Id="rId32" Target="media/rId32.png" /><Relationship Type="http://schemas.openxmlformats.org/officeDocument/2006/relationships/image" Id="rId29" Target="media/rId29.png" /><Relationship Type="http://schemas.openxmlformats.org/officeDocument/2006/relationships/image" Id="rId20" Target="media/rId20.png" /><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65" Target="https://agrilinks.org/events/drivers-agrifood-system-transformation-lessons-feed-future-country-studies" TargetMode="External" /><Relationship Type="http://schemas.openxmlformats.org/officeDocument/2006/relationships/hyperlink" Id="rId26" Target="https://docs.google.com/document/d/13n-43ppFiGKauscQ7HaAiQDCM4DssGEgRdq2fMyTDn0/edit" TargetMode="External" /><Relationship Type="http://schemas.openxmlformats.org/officeDocument/2006/relationships/hyperlink" Id="rId27" Target="mailto:refs.adl.da@usaid.gov"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154</Words>
  <Characters>883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USAID Bangladesh Country Scorecard</vt:lpstr>
    </vt:vector>
  </TitlesOfParts>
  <Company>USAID</Company>
  <LinksUpToDate>false</LinksUpToDate>
  <CharactersWithSpaces>1035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FTF FY 2023 Performance Scorecard Bureau for Resilience and Food Security</dc:title>
  <dc:creator/>
  <cp:keywords/>
  <dcterms:created xsi:type="dcterms:W3CDTF">2024-05-19T18:09:32Z</dcterms:created>
  <dcterms:modified xsi:type="dcterms:W3CDTF">2024-05-19T18:09:32Z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