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Sahel</w:t>
      </w:r>
      <w:r>
        <w:t xml:space="preserve"> </w:t>
      </w:r>
      <w:r>
        <w:t xml:space="preserve">Regional</w:t>
      </w:r>
      <w:r>
        <w:t xml:space="preserve"> </w:t>
      </w:r>
      <w:r>
        <w:t xml:space="preserve">Program</w:t>
      </w:r>
    </w:p>
    <w:p>
      <w:pPr>
        <w:pStyle w:val="FirstParagraph"/>
      </w:pPr>
      <w:r>
        <w:t xml:space="preserve">This Feed the Future (FTF) Performance Scorecard assesses the Sahel Regional Program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ahel%20Regional%20Program%20(SAHE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ahel%20Regional%20Program%20(SAHE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Sahel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ahel%20Regional%20Program%20(SAHE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ahel%20Regional%20Program%20(SAHE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Sahel Regional Program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$18,950,000.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ahel%20Regional%20Program%20(SAHE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ahel%20Regional%20Program%20(SAHE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Sahel Regional Program had 3 IMs/Activities that reported all four sex disaggregates needed to contribute to PT2. The total value of financing among all activities, regardless of disaggregates, was $4,590,000 (EG.3.2-27 total), with $4,590,000 that was disaggregated by females and males, and an additional $8,450,000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ahel%20Regional%20Program%20(SAHE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ahel%20Regional%20Program%20(SAHE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Sahel Regional Program had 8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ahel%20Regional%20Program%20(SAHE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ahel%20Regional%20Program%20(SAHE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Sahel Regional Program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ahel%20Regional%20Program%20(SAHE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ahel%20Regional%20Program%20(SAHE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Sahel Regional Program.</w:t>
      </w:r>
    </w:p>
    <w:bookmarkEnd w:id="62"/>
    <w:bookmarkStart w:id="63" w:name="national-context"/>
    <w:p>
      <w:pPr>
        <w:pStyle w:val="Heading3"/>
      </w:pPr>
      <w:r>
        <w:t xml:space="preserve">National Context</w:t>
      </w:r>
    </w:p>
    <w:p>
      <w:pPr>
        <w:pStyle w:val="FirstParagraph"/>
      </w:pPr>
      <w:r>
        <w:t xml:space="preserve">National context data is not available for Sahel Regional Program.</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Sahel Regional Program."</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Sahel%20Regional%20Program%20(SAHEL)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Sahel Regional Program (SAHEL)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148"/>
        <w:gridCol w:w="846"/>
        <w:gridCol w:w="2841"/>
        <w:gridCol w:w="1209"/>
        <w:gridCol w:w="665"/>
        <w:gridCol w:w="544"/>
        <w:gridCol w:w="66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NA</w:t>
            </w:r>
          </w:p>
        </w:tc>
        <w:tc>
          <w:tcPr/>
          <w:p>
            <w:pPr>
              <w:pStyle w:val="Compact"/>
              <w:jc w:val="right"/>
            </w:pPr>
            <w:r>
              <w:t xml:space="preserve">1365</w:t>
            </w:r>
          </w:p>
        </w:tc>
        <w:tc>
          <w:tcPr/>
          <w:p>
            <w:pPr>
              <w:pStyle w:val="Compact"/>
              <w:jc w:val="left"/>
            </w:pPr>
            <w:r>
              <w:t xml:space="preserve">USAID Yidgiri</w:t>
            </w:r>
          </w:p>
        </w:tc>
        <w:tc>
          <w:tcPr/>
          <w:p>
            <w:pPr>
              <w:pStyle w:val="Compact"/>
              <w:jc w:val="left"/>
            </w:pPr>
            <w:r>
              <w:t xml:space="preserve">NA</w:t>
            </w:r>
          </w:p>
        </w:tc>
        <w:tc>
          <w:tcPr/>
          <w:p>
            <w:pPr>
              <w:pStyle w:val="Compact"/>
              <w:jc w:val="left"/>
            </w:pPr>
            <w:r>
              <w:t xml:space="preserve">$9,761,986</w:t>
            </w:r>
          </w:p>
        </w:tc>
        <w:tc>
          <w:tcPr/>
          <w:p>
            <w:pPr>
              <w:pStyle w:val="Compact"/>
              <w:jc w:val="left"/>
            </w:pPr>
            <w:r>
              <w:t xml:space="preserve">NA</w:t>
            </w:r>
          </w:p>
        </w:tc>
        <w:tc>
          <w:tcPr/>
          <w:p>
            <w:pPr>
              <w:pStyle w:val="Compact"/>
              <w:jc w:val="left"/>
            </w:pPr>
            <w:r>
              <w:t xml:space="preserve">$1,017,870</w:t>
            </w:r>
          </w:p>
        </w:tc>
      </w:tr>
      <w:tr>
        <w:tc>
          <w:tcPr/>
          <w:p>
            <w:pPr>
              <w:pStyle w:val="Compact"/>
              <w:jc w:val="left"/>
            </w:pPr>
            <w:r>
              <w:t xml:space="preserve">72062019C00003</w:t>
            </w:r>
          </w:p>
        </w:tc>
        <w:tc>
          <w:tcPr/>
          <w:p>
            <w:pPr>
              <w:pStyle w:val="Compact"/>
              <w:jc w:val="right"/>
            </w:pPr>
            <w:r>
              <w:t xml:space="preserve">1348</w:t>
            </w:r>
          </w:p>
        </w:tc>
        <w:tc>
          <w:tcPr/>
          <w:p>
            <w:pPr>
              <w:pStyle w:val="Compact"/>
              <w:jc w:val="left"/>
            </w:pPr>
            <w:r>
              <w:t xml:space="preserve">Buy-in to West Africa Trade and Investment Hub</w:t>
            </w:r>
          </w:p>
        </w:tc>
        <w:tc>
          <w:tcPr/>
          <w:p>
            <w:pPr>
              <w:pStyle w:val="Compact"/>
              <w:jc w:val="left"/>
            </w:pPr>
            <w:r>
              <w:t xml:space="preserve">NA</w:t>
            </w:r>
          </w:p>
        </w:tc>
        <w:tc>
          <w:tcPr/>
          <w:p>
            <w:pPr>
              <w:pStyle w:val="Compact"/>
              <w:jc w:val="left"/>
            </w:pPr>
            <w:r>
              <w:t xml:space="preserve">$9,191,943</w:t>
            </w:r>
          </w:p>
        </w:tc>
        <w:tc>
          <w:tcPr/>
          <w:p>
            <w:pPr>
              <w:pStyle w:val="Compact"/>
              <w:jc w:val="left"/>
            </w:pPr>
            <w:r>
              <w:t xml:space="preserve">NA</w:t>
            </w:r>
          </w:p>
        </w:tc>
        <w:tc>
          <w:tcPr/>
          <w:p>
            <w:pPr>
              <w:pStyle w:val="Compact"/>
              <w:jc w:val="left"/>
            </w:pPr>
            <w:r>
              <w:t xml:space="preserve">$9,411,658</w:t>
            </w:r>
          </w:p>
        </w:tc>
      </w:tr>
      <w:tr>
        <w:tc>
          <w:tcPr/>
          <w:p>
            <w:pPr>
              <w:pStyle w:val="Compact"/>
              <w:jc w:val="left"/>
            </w:pPr>
            <w:r>
              <w:t xml:space="preserve">72068519LA00002</w:t>
            </w:r>
          </w:p>
        </w:tc>
        <w:tc>
          <w:tcPr/>
          <w:p>
            <w:pPr>
              <w:pStyle w:val="Compact"/>
              <w:jc w:val="right"/>
            </w:pPr>
            <w:r>
              <w:t xml:space="preserve">1362</w:t>
            </w:r>
          </w:p>
        </w:tc>
        <w:tc>
          <w:tcPr/>
          <w:p>
            <w:pPr>
              <w:pStyle w:val="Compact"/>
              <w:jc w:val="left"/>
            </w:pPr>
            <w:r>
              <w:t xml:space="preserve">TerresEauVie</w:t>
            </w:r>
          </w:p>
        </w:tc>
        <w:tc>
          <w:tcPr/>
          <w:p>
            <w:pPr>
              <w:pStyle w:val="Compact"/>
              <w:jc w:val="left"/>
            </w:pPr>
            <w:r>
              <w:t xml:space="preserve">NA</w:t>
            </w:r>
          </w:p>
        </w:tc>
        <w:tc>
          <w:tcPr/>
          <w:p>
            <w:pPr>
              <w:pStyle w:val="Compact"/>
              <w:jc w:val="left"/>
            </w:pPr>
            <w:r>
              <w:t xml:space="preserve">NA</w:t>
            </w:r>
          </w:p>
        </w:tc>
        <w:tc>
          <w:tcPr/>
          <w:p>
            <w:pPr>
              <w:pStyle w:val="Compact"/>
              <w:jc w:val="left"/>
            </w:pPr>
            <w:r>
              <w:t xml:space="preserve">114 591</w:t>
            </w:r>
          </w:p>
        </w:tc>
        <w:tc>
          <w:tcPr/>
          <w:p>
            <w:pPr>
              <w:pStyle w:val="Compact"/>
              <w:jc w:val="left"/>
            </w:pPr>
            <w:r>
              <w:t xml:space="preserve">NA</w:t>
            </w:r>
          </w:p>
        </w:tc>
      </w:tr>
      <w:tr>
        <w:tc>
          <w:tcPr/>
          <w:p>
            <w:pPr>
              <w:pStyle w:val="Compact"/>
              <w:jc w:val="left"/>
            </w:pPr>
            <w:r>
              <w:t xml:space="preserve">7200AA19C00080</w:t>
            </w:r>
          </w:p>
        </w:tc>
        <w:tc>
          <w:tcPr/>
          <w:p>
            <w:pPr>
              <w:pStyle w:val="Compact"/>
              <w:jc w:val="right"/>
            </w:pPr>
            <w:r>
              <w:t xml:space="preserve">1363</w:t>
            </w:r>
          </w:p>
        </w:tc>
        <w:tc>
          <w:tcPr/>
          <w:p>
            <w:pPr>
              <w:pStyle w:val="Compact"/>
              <w:jc w:val="left"/>
            </w:pPr>
            <w:r>
              <w:t xml:space="preserve">USAID CATALYZE buy-in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AID-625-A-14-00001</w:t>
            </w:r>
          </w:p>
        </w:tc>
        <w:tc>
          <w:tcPr/>
          <w:p>
            <w:pPr>
              <w:pStyle w:val="Compact"/>
              <w:jc w:val="right"/>
            </w:pPr>
            <w:r>
              <w:t xml:space="preserve">1356</w:t>
            </w:r>
          </w:p>
        </w:tc>
        <w:tc>
          <w:tcPr/>
          <w:p>
            <w:pPr>
              <w:pStyle w:val="Compact"/>
              <w:jc w:val="left"/>
            </w:pPr>
            <w:r>
              <w:t xml:space="preserve">SRP01: REGIS-ER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Sahel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Sahel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stated FY 2023 target of $13,117,161 in DIS did not include some of the WATIH targets, resulting in the appearance of a lower target that unfortunately cannot be edited. The actual FY 2023 target was $29,061,583, and that higher figure was not achieved. In Burkina Faso, USAID WATIH fell short of its sales target of $15,577,027 by 62 percent due to increased unpredictability in some regions where the grantees are operating. This</w:t>
      </w:r>
      <w:r>
        <w:t xml:space="preserve"> </w:t>
      </w:r>
      <w:r>
        <w:t xml:space="preserve">“</w:t>
      </w:r>
      <w:r>
        <w:t xml:space="preserve">unpredictability</w:t>
      </w:r>
      <w:r>
        <w:t xml:space="preserve">”</w:t>
      </w:r>
      <w:r>
        <w:t xml:space="preserve"> </w:t>
      </w:r>
      <w:r>
        <w:t xml:space="preserve">is the result of a number of contextual factors beyond USAID’s control, namely increasing violence, instability and market disruption. Farmers are understandably anxious and distressed due to increased banditry, reports of armed individuals invading their property, and kidnapping, which is deterring them from focusing fully on their farming operations. In certain areas, these security issues have significantly impacted farmers’ capacity to complete harvests, inevitably impacting sales. As stated above, many of the factors that prevented us from reaching our targets are beyond USAID’s control. USAID will continue to adapt activities as possible, but the broader instability and uncertainty will likely continue to constrain production and sales, and therefore have a negative impact on our results moving forward. The overall target for this indicator was not met in FY 2023. USAID Yidgiri failed to reach the target of $411,687 by 66 percent, primarily due to insecurity. Microfinance institutions continue to close their branches in the communities of interventions. In addition, the capacity of union leaders to develop loan applications and negotiate loans remains low despite the capacity-strengthening support received. USAID CATALYZE results were below the targets for this indicator (-27.75 percent). There was heightened insecurity and instability in target regions. In addition, there was closure of certain FI partners’ branches/locations as they no longer provide credit within 15 km of urban centers. The eligibility conditions for credit renewals changed which resulted in the exclusion of several transactions which were judged ineligible in calculating the value of private capital mobilized during the period. Furthermore, there were delays in grants approval by the donor as well. Similarly, USAID WATIH was below its target in Cabo Verde by 18 percent. However, the activity exceeded the FY 2023 target in Burkina Faso and Niger by more than 35 percent. The over-achievement is primarily due to additional clients reached by some grantees like Agroserv and Sinergi Burkina.</w:t>
      </w:r>
    </w:p>
    <w:bookmarkStart w:id="74" w:name="X37f757b7acb5a33577f4a35d252efc80e3459c5"/>
    <w:p>
      <w:pPr>
        <w:pStyle w:val="Heading4"/>
      </w:pPr>
      <w:r>
        <w:t xml:space="preserve">Enter Sahel Regional Program (SAHEL) Response Below:</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Sahel Regional Program</dc:title>
  <dc:creator/>
  <cp:keywords/>
  <dcterms:created xsi:type="dcterms:W3CDTF">2024-05-19T18:11:11Z</dcterms:created>
  <dcterms:modified xsi:type="dcterms:W3CDTF">2024-05-19T18:11:11Z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