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Bangladesh</w:t>
      </w:r>
    </w:p>
    <w:p>
      <w:pPr>
        <w:pStyle w:val="FirstParagraph"/>
      </w:pPr>
      <w:r>
        <w:t xml:space="preserve">This Feed the Future (FTF) Performance Scorecard assesses the USAID Bangladesh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Bangladesh%20(BANGLADESH)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Bangladesh%20(BANGLADESH)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Bangladesh.</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Bangladesh%20(BANGLADESH)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Bangladesh%20(BANGLADESH)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Bangladesh had 9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7 contributed to the sales total of $1,780,800,000.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Bangladesh%20(BANGLADESH)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Bangladesh%20(BANGLADESH)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Bangladesh had 3 IMs/Activities that reported all four sex disaggregates needed to contribute to PT2. The total value of financing among all activities, regardless of disaggregates, was $11,190,000 (EG.3.2-27 total), with $11,190,000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Bangladesh%20(BANGLADESH)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Bangladesh%20(BANGLADESH)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Bangladesh had 19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Bangladesh%20(BANGLADESH)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Bangladesh%20(BANGLADESH)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Bangladesh had 7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7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Bangladesh%20(BANGLADESH)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Bangladesh%20(BANGLADESH)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Bangladesh was in 2018 and showed that 66% of women in the ZOI had access to a minimally-diverse diet. The FY30 target is 80% percent.The most recent PBS was in 2022, but results are not yet available.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Bangladesh%20(BANGLADESH)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Bangladesh%20(BANGLADESH)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Bangladesh%20(BANGLADESH)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Bangladesh (BANGLADESH)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13"/>
        <w:gridCol w:w="887"/>
        <w:gridCol w:w="3801"/>
        <w:gridCol w:w="1203"/>
        <w:gridCol w:w="253"/>
        <w:gridCol w:w="253"/>
        <w:gridCol w:w="253"/>
        <w:gridCol w:w="25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72038818CA00005</w:t>
            </w:r>
          </w:p>
        </w:tc>
        <w:tc>
          <w:tcPr/>
          <w:p>
            <w:pPr>
              <w:pStyle w:val="Compact"/>
              <w:jc w:val="right"/>
            </w:pPr>
            <w:r>
              <w:t xml:space="preserve">1616</w:t>
            </w:r>
          </w:p>
        </w:tc>
        <w:tc>
          <w:tcPr/>
          <w:p>
            <w:pPr>
              <w:pStyle w:val="Compact"/>
              <w:jc w:val="left"/>
            </w:pPr>
            <w:r>
              <w:t xml:space="preserve">FTF Bangladesh Nutrition Activity</w:t>
            </w:r>
          </w:p>
        </w:tc>
        <w:tc>
          <w:tcPr/>
          <w:p>
            <w:pPr>
              <w:pStyle w:val="Compact"/>
              <w:jc w:val="left"/>
            </w:pPr>
            <w:r>
              <w:t xml:space="preserve">$5,334,303</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72038818IO00002</w:t>
            </w:r>
          </w:p>
        </w:tc>
        <w:tc>
          <w:tcPr/>
          <w:p>
            <w:pPr>
              <w:pStyle w:val="Compact"/>
              <w:jc w:val="right"/>
            </w:pPr>
            <w:r>
              <w:t xml:space="preserve">1612</w:t>
            </w:r>
          </w:p>
        </w:tc>
        <w:tc>
          <w:tcPr/>
          <w:p>
            <w:pPr>
              <w:pStyle w:val="Compact"/>
              <w:jc w:val="left"/>
            </w:pPr>
            <w:r>
              <w:t xml:space="preserve">FTF Bangladesh Aquaculture Activity</w:t>
            </w:r>
          </w:p>
        </w:tc>
        <w:tc>
          <w:tcPr/>
          <w:p>
            <w:pPr>
              <w:pStyle w:val="Compact"/>
              <w:jc w:val="left"/>
            </w:pPr>
            <w:r>
              <w:t xml:space="preserve">$3,792,335</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72038821CA00005</w:t>
            </w:r>
          </w:p>
        </w:tc>
        <w:tc>
          <w:tcPr/>
          <w:p>
            <w:pPr>
              <w:pStyle w:val="Compact"/>
              <w:jc w:val="right"/>
            </w:pPr>
            <w:r>
              <w:t xml:space="preserve">4553</w:t>
            </w:r>
          </w:p>
        </w:tc>
        <w:tc>
          <w:tcPr/>
          <w:p>
            <w:pPr>
              <w:pStyle w:val="Compact"/>
              <w:jc w:val="left"/>
            </w:pPr>
            <w:r>
              <w:t xml:space="preserve">Feed the Future Bangladesh Livestock and Nutrition Activity</w:t>
            </w:r>
          </w:p>
        </w:tc>
        <w:tc>
          <w:tcPr/>
          <w:p>
            <w:pPr>
              <w:pStyle w:val="Compact"/>
              <w:jc w:val="left"/>
            </w:pPr>
            <w:r>
              <w:t xml:space="preserve">$3,723,131</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728"/>
        <w:gridCol w:w="637"/>
        <w:gridCol w:w="4142"/>
        <w:gridCol w:w="910"/>
        <w:gridCol w:w="591"/>
        <w:gridCol w:w="409"/>
        <w:gridCol w:w="500"/>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72038821CA00005</w:t>
            </w:r>
          </w:p>
        </w:tc>
        <w:tc>
          <w:tcPr/>
          <w:p>
            <w:pPr>
              <w:pStyle w:val="Compact"/>
              <w:jc w:val="right"/>
            </w:pPr>
            <w:r>
              <w:t xml:space="preserve">4553</w:t>
            </w:r>
          </w:p>
        </w:tc>
        <w:tc>
          <w:tcPr/>
          <w:p>
            <w:pPr>
              <w:pStyle w:val="Compact"/>
              <w:jc w:val="left"/>
            </w:pPr>
            <w:r>
              <w:t xml:space="preserve">Feed the Future Bangladesh Livestock and Nutrition Activity</w:t>
            </w:r>
          </w:p>
        </w:tc>
        <w:tc>
          <w:tcPr/>
          <w:p>
            <w:pPr>
              <w:pStyle w:val="Compact"/>
              <w:jc w:val="left"/>
            </w:pPr>
            <w:r>
              <w:t xml:space="preserve">$3,723,131</w:t>
            </w:r>
          </w:p>
        </w:tc>
        <w:tc>
          <w:tcPr/>
          <w:p>
            <w:pPr>
              <w:pStyle w:val="Compact"/>
              <w:jc w:val="left"/>
            </w:pPr>
            <w:r>
              <w:t xml:space="preserve">$967,707,611</w:t>
            </w:r>
          </w:p>
        </w:tc>
        <w:tc>
          <w:tcPr/>
          <w:p>
            <w:pPr>
              <w:pStyle w:val="Compact"/>
              <w:jc w:val="left"/>
            </w:pPr>
            <w:r>
              <w:t xml:space="preserve">NA</w:t>
            </w:r>
          </w:p>
        </w:tc>
        <w:tc>
          <w:tcPr/>
          <w:p>
            <w:pPr>
              <w:pStyle w:val="Compact"/>
              <w:jc w:val="left"/>
            </w:pPr>
            <w:r>
              <w:t xml:space="preserve">$979,564</w:t>
            </w:r>
          </w:p>
        </w:tc>
      </w:tr>
      <w:tr>
        <w:tc>
          <w:tcPr/>
          <w:p>
            <w:pPr>
              <w:pStyle w:val="Compact"/>
              <w:jc w:val="left"/>
            </w:pPr>
            <w:r>
              <w:t xml:space="preserve">72038818IO00002</w:t>
            </w:r>
          </w:p>
        </w:tc>
        <w:tc>
          <w:tcPr/>
          <w:p>
            <w:pPr>
              <w:pStyle w:val="Compact"/>
              <w:jc w:val="right"/>
            </w:pPr>
            <w:r>
              <w:t xml:space="preserve">1612</w:t>
            </w:r>
          </w:p>
        </w:tc>
        <w:tc>
          <w:tcPr/>
          <w:p>
            <w:pPr>
              <w:pStyle w:val="Compact"/>
              <w:jc w:val="left"/>
            </w:pPr>
            <w:r>
              <w:t xml:space="preserve">FTF Bangladesh Aquaculture Activity</w:t>
            </w:r>
          </w:p>
        </w:tc>
        <w:tc>
          <w:tcPr/>
          <w:p>
            <w:pPr>
              <w:pStyle w:val="Compact"/>
              <w:jc w:val="left"/>
            </w:pPr>
            <w:r>
              <w:t xml:space="preserve">$3,792,335</w:t>
            </w:r>
          </w:p>
        </w:tc>
        <w:tc>
          <w:tcPr/>
          <w:p>
            <w:pPr>
              <w:pStyle w:val="Compact"/>
              <w:jc w:val="left"/>
            </w:pPr>
            <w:r>
              <w:t xml:space="preserve">$611,504,370</w:t>
            </w:r>
          </w:p>
        </w:tc>
        <w:tc>
          <w:tcPr/>
          <w:p>
            <w:pPr>
              <w:pStyle w:val="Compact"/>
              <w:jc w:val="left"/>
            </w:pPr>
            <w:r>
              <w:t xml:space="preserve">NA</w:t>
            </w:r>
          </w:p>
        </w:tc>
        <w:tc>
          <w:tcPr/>
          <w:p>
            <w:pPr>
              <w:pStyle w:val="Compact"/>
              <w:jc w:val="left"/>
            </w:pPr>
            <w:r>
              <w:t xml:space="preserve">$712,898</w:t>
            </w:r>
          </w:p>
        </w:tc>
      </w:tr>
      <w:tr>
        <w:tc>
          <w:tcPr/>
          <w:p>
            <w:pPr>
              <w:pStyle w:val="Compact"/>
              <w:jc w:val="left"/>
            </w:pPr>
            <w:r>
              <w:t xml:space="preserve">72038820C00002</w:t>
            </w:r>
          </w:p>
        </w:tc>
        <w:tc>
          <w:tcPr/>
          <w:p>
            <w:pPr>
              <w:pStyle w:val="Compact"/>
              <w:jc w:val="right"/>
            </w:pPr>
            <w:r>
              <w:t xml:space="preserve">2227</w:t>
            </w:r>
          </w:p>
        </w:tc>
        <w:tc>
          <w:tcPr/>
          <w:p>
            <w:pPr>
              <w:pStyle w:val="Compact"/>
              <w:jc w:val="left"/>
            </w:pPr>
            <w:r>
              <w:t xml:space="preserve">Feed the Future Bangladesh Horticulture, Fruits, and Non-Food Crops Activity</w:t>
            </w:r>
          </w:p>
        </w:tc>
        <w:tc>
          <w:tcPr/>
          <w:p>
            <w:pPr>
              <w:pStyle w:val="Compact"/>
              <w:jc w:val="left"/>
            </w:pPr>
            <w:r>
              <w:t xml:space="preserve">NA</w:t>
            </w:r>
          </w:p>
        </w:tc>
        <w:tc>
          <w:tcPr/>
          <w:p>
            <w:pPr>
              <w:pStyle w:val="Compact"/>
              <w:jc w:val="left"/>
            </w:pPr>
            <w:r>
              <w:t xml:space="preserve">$143,081,782</w:t>
            </w:r>
          </w:p>
        </w:tc>
        <w:tc>
          <w:tcPr/>
          <w:p>
            <w:pPr>
              <w:pStyle w:val="Compact"/>
              <w:jc w:val="left"/>
            </w:pPr>
            <w:r>
              <w:t xml:space="preserve">11 420</w:t>
            </w:r>
          </w:p>
        </w:tc>
        <w:tc>
          <w:tcPr/>
          <w:p>
            <w:pPr>
              <w:pStyle w:val="Compact"/>
              <w:jc w:val="left"/>
            </w:pPr>
            <w:r>
              <w:t xml:space="preserve">$9,086,835</w:t>
            </w:r>
          </w:p>
        </w:tc>
      </w:tr>
      <w:tr>
        <w:tc>
          <w:tcPr/>
          <w:p>
            <w:pPr>
              <w:pStyle w:val="Compact"/>
              <w:jc w:val="left"/>
            </w:pPr>
            <w:r>
              <w:t xml:space="preserve">72038822CA00007</w:t>
            </w:r>
          </w:p>
        </w:tc>
        <w:tc>
          <w:tcPr/>
          <w:p>
            <w:pPr>
              <w:pStyle w:val="Compact"/>
              <w:jc w:val="right"/>
            </w:pPr>
            <w:r>
              <w:t xml:space="preserve">6002</w:t>
            </w:r>
          </w:p>
        </w:tc>
        <w:tc>
          <w:tcPr/>
          <w:p>
            <w:pPr>
              <w:pStyle w:val="Compact"/>
              <w:jc w:val="left"/>
            </w:pPr>
            <w:r>
              <w:t xml:space="preserve">SHOUHARDO III plus</w:t>
            </w:r>
          </w:p>
        </w:tc>
        <w:tc>
          <w:tcPr/>
          <w:p>
            <w:pPr>
              <w:pStyle w:val="Compact"/>
              <w:jc w:val="left"/>
            </w:pPr>
            <w:r>
              <w:t xml:space="preserve">$2,167,333</w:t>
            </w:r>
          </w:p>
        </w:tc>
        <w:tc>
          <w:tcPr/>
          <w:p>
            <w:pPr>
              <w:pStyle w:val="Compact"/>
              <w:jc w:val="left"/>
            </w:pPr>
            <w:r>
              <w:t xml:space="preserve">$51,922,143</w:t>
            </w:r>
          </w:p>
        </w:tc>
        <w:tc>
          <w:tcPr/>
          <w:p>
            <w:pPr>
              <w:pStyle w:val="Compact"/>
              <w:jc w:val="left"/>
            </w:pPr>
            <w:r>
              <w:t xml:space="preserve">6 573</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1613</w:t>
            </w:r>
          </w:p>
        </w:tc>
        <w:tc>
          <w:tcPr/>
          <w:p>
            <w:pPr>
              <w:pStyle w:val="Compact"/>
              <w:jc w:val="left"/>
            </w:pPr>
            <w:r>
              <w:t xml:space="preserve">CSISA MEA - Cereal Systems Initiative in South Asia - Mechanization and Extension Activity</w:t>
            </w:r>
          </w:p>
        </w:tc>
        <w:tc>
          <w:tcPr/>
          <w:p>
            <w:pPr>
              <w:pStyle w:val="Compact"/>
              <w:jc w:val="left"/>
            </w:pPr>
            <w:r>
              <w:t xml:space="preserve">NA</w:t>
            </w:r>
          </w:p>
        </w:tc>
        <w:tc>
          <w:tcPr/>
          <w:p>
            <w:pPr>
              <w:pStyle w:val="Compact"/>
              <w:jc w:val="left"/>
            </w:pPr>
            <w:r>
              <w:t xml:space="preserve">$3,669,762</w:t>
            </w:r>
          </w:p>
        </w:tc>
        <w:tc>
          <w:tcPr/>
          <w:p>
            <w:pPr>
              <w:pStyle w:val="Compact"/>
              <w:jc w:val="left"/>
            </w:pPr>
            <w:r>
              <w:t xml:space="preserve">NA</w:t>
            </w:r>
          </w:p>
        </w:tc>
        <w:tc>
          <w:tcPr/>
          <w:p>
            <w:pPr>
              <w:pStyle w:val="Compact"/>
              <w:jc w:val="left"/>
            </w:pPr>
            <w:r>
              <w:t xml:space="preserve">$3,528,351</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Bangladesh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Bangladesh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2"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FTF Aquaculture and Nutrition, CSISA Mechanization and Extension (CSISA MEA), and FTF Livestock and Nutrition projects reported FY 2023 results against this indicator. Two of the projects exceeded their targets, but the Livestock project fell short and so the overall aggregate result was 39 percent lower than the target. Due to a delay in negotiations, the Livestock project was only able to partner with two financial service providers, out of its target of three, to extend livestock loans to dairy, beef, and goat farmers and other market actors. Therefore, it could not facilitate the targeted amounts of loan access. The outyear targets declined due to the Aquaculture project ending in FY 2023. For FY 2024, the CSISA MEA and the Livestock projects set targets of $1,100,000 and $7,058,878 respectively, based on their plans to facilitate access to credit for target beneficiaries. USAID will revisit the FY 2025 targets during the FY 2024 PPR and adjust as needed based on FY 2024 results, implementation experience, and start-up time of the new activities.</w:t>
      </w:r>
    </w:p>
    <w:bookmarkStart w:id="81" w:name="X027160c5685427c8a0825b5e16fddef11281b4a"/>
    <w:p>
      <w:pPr>
        <w:pStyle w:val="Heading4"/>
      </w:pPr>
      <w:r>
        <w:t xml:space="preserve">Enter USAID Bangladesh (BANGLADESH) Response Below:</w:t>
      </w:r>
    </w:p>
    <w:bookmarkEnd w:id="81"/>
    <w:bookmarkEnd w:id="82"/>
    <w:bookmarkStart w:id="84"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total of seven projects reported FY 2023 results for this indicator, with the overall result being 47 percent higher than the target. This is primarily because of the overachievement by the Aquaculture project, the Horticulture project, and the Livestock project. The Aquaculture project, which was scheduled to end this year in February, received a time extension through November. As a result, the project was able to reach more aquaculture beneficiaries than targeted. The Horticulture project formed additional partnerships with input firms, which contributed to covering more crop lands. In addition, the Livestock project was able to cover more lands for fodder cultivation thanks to additional outreach and training for the farmers, leading to a higher area coverage. Future outyear targets will decline due to the Aquaculture project ending in 2023. The rest of the projects as well as the new CSA project have set FY 2024 and FY 2025 targets based on their annual work plans and FY 2023 implementation experience. USAID will revisit the FY 2025 targets during the FY 2024 PPR and adjust as needed based on FY 2024 results, implementation experience, and start-up time of the new activities.</w:t>
      </w:r>
    </w:p>
    <w:bookmarkStart w:id="83" w:name="Xff68fde4547e082edf0e1d7b4b0a318371e24c0"/>
    <w:p>
      <w:pPr>
        <w:pStyle w:val="Heading4"/>
      </w:pPr>
      <w:r>
        <w:t xml:space="preserve">Enter USAID Bangladesh (BANGLADESH)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Bangladesh</dc:title>
  <dc:creator/>
  <cp:keywords/>
  <dcterms:created xsi:type="dcterms:W3CDTF">2024-05-19T18:09:28Z</dcterms:created>
  <dcterms:modified xsi:type="dcterms:W3CDTF">2024-05-19T18:09:28Z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