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70.png" ContentType="image/png"/>
  <Override PartName="/word/media/rId74.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Colombia</w:t>
      </w:r>
    </w:p>
    <w:p>
      <w:pPr>
        <w:pStyle w:val="FirstParagraph"/>
      </w:pPr>
      <w:r>
        <w:t xml:space="preserve">This Feed the Future (FTF) Performance Scorecard assesses the USAID Colombia progress toward FY 2030 Performance Targets.</w:t>
      </w:r>
    </w:p>
    <w:bookmarkStart w:id="86"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Colombia%20(COLOMBIA)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Colombia%20(COLOMBIA)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Colombia.</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Colombia%20(COLOMBIA)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Colombia%20(COLOMBIA)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Colombia had 2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1 contributed to the sales total of $1,410,000.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Colombia%20(COLOMBIA)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Colombia%20(COLOMBIA)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Colombia had 0 IMs/Activities that reported all four sex disaggregates needed to contribute to PT2. The total value of financing among all activities, regardless of disaggregates, was NA (EG.3.2-27 total), with NA that was disaggregated by females and males, and an additional 0 to</w:t>
      </w:r>
      <w:r>
        <w:t xml:space="preserve"> </w:t>
      </w:r>
      <w:r>
        <w:t xml:space="preserve">‘</w:t>
      </w:r>
      <w:r>
        <w:t xml:space="preserve">mixed</w:t>
      </w:r>
      <w:r>
        <w:t xml:space="preserve">’</w:t>
      </w:r>
      <w:r>
        <w:t xml:space="preserve"> </w:t>
      </w:r>
      <w:r>
        <w:t xml:space="preserve">firms that have both males and females, and NA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Colombia%20(COLOMBIA)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Colombia%20(COLOMBIA)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Colombia had 6 activities that aligned the indicator for hectares under improved management practices (EG.3.2-25). Of those activities, 0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Colombia%20(COLOMBIA)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Colombia%20(COLOMBIA)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Colombia had 1 activity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1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Colombia%20(COLOMBIA)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Colombia%20(COLOMBIA)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Colombia.</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Colombia%20(COLOMBIA)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3" w:name="agricultural-transformation-index-score"/>
    <w:p>
      <w:pPr>
        <w:pStyle w:val="Heading2"/>
      </w:pPr>
      <w:r>
        <w:t xml:space="preserve">Agricultural Transformation Index Score</w:t>
      </w:r>
    </w:p>
    <w:p>
      <w:pPr>
        <w:pStyle w:val="FirstParagraph"/>
      </w:pPr>
      <w:r>
        <w:t xml:space="preserve">The</w:t>
      </w:r>
      <w:r>
        <w:t xml:space="preserve"> </w:t>
      </w:r>
      <w:hyperlink r:id="rId69">
        <w:r>
          <w:rPr>
            <w:rStyle w:val="Hyperlink"/>
          </w:rPr>
          <w:t xml:space="preserve">IFPRI Agricultural Transformation Index (ATI)</w:t>
        </w:r>
      </w:hyperlink>
      <w:r>
        <w:t xml:space="preserve"> </w:t>
      </w:r>
      <w:r>
        <w:t xml:space="preserve">Score is a high level indicator of the status of agricultural market systems in each country.</w:t>
      </w:r>
    </w:p>
    <w:p>
      <w:pPr>
        <w:pStyle w:val="BodyText"/>
      </w:pPr>
      <w:r>
        <w:drawing>
          <wp:inline>
            <wp:extent cx="5813658" cy="2772075"/>
            <wp:effectExtent b="0" l="0" r="0" t="0"/>
            <wp:docPr descr="" title="" id="71" name="Picture"/>
            <a:graphic>
              <a:graphicData uri="http://schemas.openxmlformats.org/drawingml/2006/picture">
                <pic:pic>
                  <pic:nvPicPr>
                    <pic:cNvPr descr="C:\Users\rythomas\Documents\R_scripts\country_scorecards\country_scorecards\output\USAID%20Colombia%20(COLOMBIA)_files/figure-docx/ati%20plot-1.png" id="72" name="Picture"/>
                    <pic:cNvPicPr>
                      <a:picLocks noChangeArrowheads="1" noChangeAspect="1"/>
                    </pic:cNvPicPr>
                  </pic:nvPicPr>
                  <pic:blipFill>
                    <a:blip r:embed="rId70"/>
                    <a:stretch>
                      <a:fillRect/>
                    </a:stretch>
                  </pic:blipFill>
                  <pic:spPr bwMode="auto">
                    <a:xfrm>
                      <a:off x="0" y="0"/>
                      <a:ext cx="5813658" cy="2772075"/>
                    </a:xfrm>
                    <a:prstGeom prst="rect">
                      <a:avLst/>
                    </a:prstGeom>
                    <a:noFill/>
                    <a:ln w="9525">
                      <a:noFill/>
                      <a:headEnd/>
                      <a:tailEnd/>
                    </a:ln>
                  </pic:spPr>
                </pic:pic>
              </a:graphicData>
            </a:graphic>
          </wp:inline>
        </w:drawing>
      </w:r>
    </w:p>
    <w:bookmarkEnd w:id="73"/>
    <w:bookmarkStart w:id="77"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5" name="Picture"/>
            <a:graphic>
              <a:graphicData uri="http://schemas.openxmlformats.org/drawingml/2006/picture">
                <pic:pic>
                  <pic:nvPicPr>
                    <pic:cNvPr descr="C:\Users\rythomas\Documents\R_scripts\country_scorecards\country_scorecards\output\USAID%20Colombia%20(COLOMBIA)_files/figure-docx/budget%20plot-1.png" id="76" name="Picture"/>
                    <pic:cNvPicPr>
                      <a:picLocks noChangeArrowheads="1" noChangeAspect="1"/>
                    </pic:cNvPicPr>
                  </pic:nvPicPr>
                  <pic:blipFill>
                    <a:blip r:embed="rId74"/>
                    <a:stretch>
                      <a:fillRect/>
                    </a:stretch>
                  </pic:blipFill>
                  <pic:spPr bwMode="auto">
                    <a:xfrm>
                      <a:off x="0" y="0"/>
                      <a:ext cx="5943600" cy="3200400"/>
                    </a:xfrm>
                    <a:prstGeom prst="rect">
                      <a:avLst/>
                    </a:prstGeom>
                    <a:noFill/>
                    <a:ln w="9525">
                      <a:noFill/>
                      <a:headEnd/>
                      <a:tailEnd/>
                    </a:ln>
                  </pic:spPr>
                </pic:pic>
              </a:graphicData>
            </a:graphic>
          </wp:inline>
        </w:drawing>
      </w:r>
    </w:p>
    <w:bookmarkEnd w:id="77"/>
    <w:bookmarkStart w:id="78"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8"/>
    <w:bookmarkStart w:id="80" w:name="X5c5d246148a297ff9a3792eabd1fa065d738198"/>
    <w:p>
      <w:pPr>
        <w:pStyle w:val="Heading2"/>
      </w:pPr>
      <w:r>
        <w:t xml:space="preserve">Top Activities (Award Disbursements and Results)</w:t>
      </w:r>
    </w:p>
    <w:p>
      <w:pPr>
        <w:pStyle w:val="FirstParagraph"/>
      </w:pPr>
      <w:r>
        <w:t xml:space="preserve">This section highlights some activities in the USAID Colombia (COLOMBIA) portfolio that have the highest level of disbursements and high reporting values for the relevant indicators. The table below shows the top (up to) five activities by the total transaction amount for disbursements.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1354"/>
        <w:gridCol w:w="1458"/>
        <w:gridCol w:w="1458"/>
        <w:gridCol w:w="1980"/>
        <w:gridCol w:w="416"/>
        <w:gridCol w:w="416"/>
        <w:gridCol w:w="416"/>
        <w:gridCol w:w="416"/>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bl>
    <w:p>
      <w:pPr>
        <w:pStyle w:val="BodyText"/>
      </w:pPr>
      <w:r>
        <w:rPr>
          <w:bCs/>
          <w:b/>
        </w:rPr>
        <w:t xml:space="preserve">The next table (below) shows the top reporting activities.</w:t>
      </w:r>
    </w:p>
    <w:tbl>
      <w:tblPr>
        <w:tblStyle w:val="Table"/>
        <w:tblW w:type="pct" w:w="5000"/>
        <w:tblLook w:firstRow="1" w:lastRow="0" w:firstColumn="0" w:lastColumn="0" w:noHBand="0" w:noVBand="0" w:val="0020"/>
        <w:jc w:val="start"/>
      </w:tblPr>
      <w:tblGrid>
        <w:gridCol w:w="1308"/>
        <w:gridCol w:w="964"/>
        <w:gridCol w:w="2134"/>
        <w:gridCol w:w="1377"/>
        <w:gridCol w:w="757"/>
        <w:gridCol w:w="619"/>
        <w:gridCol w:w="757"/>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72051419CA00005</w:t>
            </w:r>
          </w:p>
        </w:tc>
        <w:tc>
          <w:tcPr/>
          <w:p>
            <w:pPr>
              <w:pStyle w:val="Compact"/>
              <w:jc w:val="right"/>
            </w:pPr>
            <w:r>
              <w:t xml:space="preserve">4614</w:t>
            </w:r>
          </w:p>
        </w:tc>
        <w:tc>
          <w:tcPr/>
          <w:p>
            <w:pPr>
              <w:pStyle w:val="Compact"/>
              <w:jc w:val="left"/>
            </w:pPr>
            <w:r>
              <w:t xml:space="preserve">The Cacao Effect</w:t>
            </w:r>
          </w:p>
        </w:tc>
        <w:tc>
          <w:tcPr/>
          <w:p>
            <w:pPr>
              <w:pStyle w:val="Compact"/>
              <w:jc w:val="left"/>
            </w:pPr>
            <w:r>
              <w:t xml:space="preserve">NA</w:t>
            </w:r>
          </w:p>
        </w:tc>
        <w:tc>
          <w:tcPr/>
          <w:p>
            <w:pPr>
              <w:pStyle w:val="Compact"/>
              <w:jc w:val="left"/>
            </w:pPr>
            <w:r>
              <w:t xml:space="preserve">$1,405,475</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72051419CA00006</w:t>
            </w:r>
          </w:p>
        </w:tc>
        <w:tc>
          <w:tcPr/>
          <w:p>
            <w:pPr>
              <w:pStyle w:val="Compact"/>
              <w:jc w:val="right"/>
            </w:pPr>
            <w:r>
              <w:t xml:space="preserve">4612</w:t>
            </w:r>
          </w:p>
        </w:tc>
        <w:tc>
          <w:tcPr/>
          <w:p>
            <w:pPr>
              <w:pStyle w:val="Compact"/>
              <w:jc w:val="left"/>
            </w:pPr>
            <w:r>
              <w:t xml:space="preserve">Bitter Casava for a Sweet Milk</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$8,740,005</w:t>
            </w:r>
          </w:p>
        </w:tc>
      </w:tr>
      <w:tr>
        <w:tc>
          <w:tcPr/>
          <w:p>
            <w:pPr>
              <w:pStyle w:val="Compact"/>
              <w:jc w:val="left"/>
            </w:pPr>
            <w:r>
              <w:t xml:space="preserve">AID-514-H-17-00001</w:t>
            </w:r>
          </w:p>
        </w:tc>
        <w:tc>
          <w:tcPr/>
          <w:p>
            <w:pPr>
              <w:pStyle w:val="Compact"/>
              <w:jc w:val="right"/>
            </w:pPr>
            <w:r>
              <w:t xml:space="preserve">4615</w:t>
            </w:r>
          </w:p>
        </w:tc>
        <w:tc>
          <w:tcPr/>
          <w:p>
            <w:pPr>
              <w:pStyle w:val="Compact"/>
              <w:jc w:val="left"/>
            </w:pPr>
            <w:r>
              <w:t xml:space="preserve">Natural Wealth Activity</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BodyText"/>
      </w:pPr>
    </w:p>
    <w:bookmarkStart w:id="79"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Colombia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Colombia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bookmarkEnd w:id="79"/>
    <w:bookmarkEnd w:id="80"/>
    <w:bookmarkStart w:id="81" w:name="performance-target-1-sales"/>
    <w:p>
      <w:pPr>
        <w:pStyle w:val="Heading2"/>
      </w:pPr>
      <w:r>
        <w:t xml:space="preserve">Performance Target 1: Sales</w:t>
      </w:r>
    </w:p>
    <w:p>
      <w:pPr>
        <w:pStyle w:val="FirstParagraph"/>
      </w:pPr>
      <w:r>
        <w:rPr>
          <w:iCs/>
          <w:i/>
        </w:rPr>
        <w:t xml:space="preserve">Excerpt from FY23 KIN Section 4 to consider:</w:t>
      </w:r>
      <w:r>
        <w:t xml:space="preserve">target was exceeded by 8%. The increase in international prices for agricultural commodities helped to boost sales during FY23 (specially the increase in price for cacao in international markets as an export product: +150% for 2023 vs. 2022 ) Deviation Narrative (explain why your FY 2023 Actual did or did not meet its target): The increase in international prices for agricultural commodities helped to boost sales during FY23 (specially the increase in price for cacao in international markets as an export product: +150% for 2023 vs. 2022 ) If you met or exceeded your target, describe successful or promising practices that contributed to this sustained or improved progress to incorporate into your ongoing adaptive management. The tailored technical assistance for the specific needs per value chain and geography (especially for cocoa and dairy) helped to mitigate unexpected weather conditions.</w:t>
      </w:r>
    </w:p>
    <w:p>
      <w:pPr>
        <w:pStyle w:val="BodyText"/>
      </w:pPr>
      <w:r>
        <w:t xml:space="preserve">#### Enter USAID Colombia (COLOMBIA) Response Below:</w:t>
      </w:r>
    </w:p>
    <w:bookmarkEnd w:id="81"/>
    <w:bookmarkStart w:id="83" w:name="X8a5233251e904421eb625fc5106a227083b8338"/>
    <w:p>
      <w:pPr>
        <w:pStyle w:val="Heading2"/>
      </w:pPr>
      <w:r>
        <w:t xml:space="preserve">Performance Target 3: Hectares under climate adaptive and risk management practices</w:t>
      </w:r>
    </w:p>
    <w:p>
      <w:pPr>
        <w:pStyle w:val="FirstParagraph"/>
      </w:pPr>
      <w:r>
        <w:rPr>
          <w:iCs/>
          <w:i/>
        </w:rPr>
        <w:t xml:space="preserve">Excerpt from FY23 KIN Section 4 to consider:</w:t>
      </w:r>
      <w:r>
        <w:rPr>
          <w:iCs/>
          <w:i/>
        </w:rPr>
        <w:t xml:space="preserve"> </w:t>
      </w:r>
      <w:r>
        <w:t xml:space="preserve">target for FY23 was met. For FY23, a total of 580.5 hectares were under improved management. The Cacao Effect GDA, was able to support additional hectares due to the resources leveraged from ENEL, a private partner from the energy sector in Colombia. Some of those hectares received cocoa seedlings for new crops; other hectares were under rehabilitation activities to replace low-production plants with more productive breeds. The full set of supported hectares from the cocoa farmers were supported by extension services, supply of fertilizers and training on cocoa production. The Colanta GDA - Bitter Cassava for a Sweet Milk support to the dairy production system was driven by the increasing demand of pasture renovation services, as the farmers considered this assistance a high quality and cost-effective strategy. For the industrial cassava, the process was related to the preparation for the planting season.</w:t>
      </w:r>
    </w:p>
    <w:bookmarkStart w:id="82" w:name="X1740d0ef7c1de138565a5fd2d074cc4015dd7c6"/>
    <w:p>
      <w:pPr>
        <w:pStyle w:val="Heading4"/>
      </w:pPr>
      <w:r>
        <w:t xml:space="preserve">Enter USAID Colombia (COLOMBIA) Response Below:</w:t>
      </w:r>
    </w:p>
    <w:bookmarkEnd w:id="82"/>
    <w:bookmarkEnd w:id="83"/>
    <w:bookmarkStart w:id="85" w:name="X248a5b8c03eaab044652832dfd9d77ffb8b1dde"/>
    <w:p>
      <w:pPr>
        <w:pStyle w:val="Heading2"/>
      </w:pPr>
      <w:r>
        <w:t xml:space="preserve">Performance Target 4: Private sector investment</w:t>
      </w:r>
    </w:p>
    <w:p>
      <w:pPr>
        <w:pStyle w:val="FirstParagraph"/>
      </w:pPr>
      <w:r>
        <w:rPr>
          <w:iCs/>
          <w:i/>
        </w:rPr>
        <w:t xml:space="preserve">Excerpt from FY23 KIN Section 4 to consider:</w:t>
      </w:r>
      <w:r>
        <w:rPr>
          <w:iCs/>
          <w:i/>
        </w:rPr>
        <w:t xml:space="preserve"> </w:t>
      </w:r>
      <w:r>
        <w:t xml:space="preserve">target for FY23 was met. For FY23, a total of 580.5 hectares were under improved management. The Cacao Effect GDA, was able to support additional hectares due to the resources leveraged from ENEL, a private partner from the energy sector in Colombia. Some of those hectares received cocoa seedlings for new crops; other hectares were under rehabilitation activities to replace low-production plants with more productive breeds. The full set of supported hectares from the cocoa farmers were supported by extension services, supply of fertilizers and training on cocoa production. The Colanta GDA - Bitter Cassava for a Sweet Milk support to the dairy production system was driven by the increasing demand of pasture renovation services, as the farmers considered this assistance a high quality and cost-effective strategy. For the industrial cassava, the process was related to the preparation for the planting season.</w:t>
      </w:r>
    </w:p>
    <w:bookmarkStart w:id="84" w:name="X967a477de230c36a144525c2b2dd815b20cf396"/>
    <w:p>
      <w:pPr>
        <w:pStyle w:val="Heading4"/>
      </w:pPr>
      <w:r>
        <w:t xml:space="preserve">Enter USAID Colombia (COLOMBIA) Response Below:</w:t>
      </w:r>
    </w:p>
    <w:bookmarkEnd w:id="84"/>
    <w:bookmarkEnd w:id="85"/>
    <w:bookmarkEnd w:id="86"/>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0" locked="0" layoutInCell="1" allowOverlap="1" wp14:anchorId="22F23042" wp14:editId="6EAE15D4">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0F4EA" id="Rectangle 4" o:spid="_x0000_s1026" style="position:absolute;margin-left:563.15pt;margin-top:.45pt;width:614.35pt;height:49.25pt;z-index:25165823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5552B7D">
          <wp:simplePos x="0" y="0"/>
          <wp:positionH relativeFrom="column">
            <wp:posOffset>1609090</wp:posOffset>
          </wp:positionH>
          <wp:positionV relativeFrom="paragraph">
            <wp:posOffset>-5979</wp:posOffset>
          </wp:positionV>
          <wp:extent cx="3631565" cy="634365"/>
          <wp:effectExtent l="0" t="0" r="6985" b="0"/>
          <wp:wrapThrough wrapText="bothSides">
            <wp:wrapPolygon edited="0">
              <wp:start x="1473" y="0"/>
              <wp:lineTo x="340" y="4541"/>
              <wp:lineTo x="0" y="7135"/>
              <wp:lineTo x="0" y="16216"/>
              <wp:lineTo x="680" y="20108"/>
              <wp:lineTo x="1473" y="20757"/>
              <wp:lineTo x="13823" y="20757"/>
              <wp:lineTo x="21528" y="19459"/>
              <wp:lineTo x="21528" y="1946"/>
              <wp:lineTo x="2153" y="0"/>
              <wp:lineTo x="1473" y="0"/>
            </wp:wrapPolygon>
          </wp:wrapThrough>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637762178" w:numId="1">
    <w:abstractNumId w:val="0"/>
  </w:num>
  <w:num w16cid:durableId="1548834929" w:numId="2">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ascii="Gill Sans MT" w:cstheme="majorBidi" w:eastAsiaTheme="majorEastAsia" w:hAnsi="Gill Sans MT"/>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ascii="Gill Sans MT" w:cs="Times New Roman" w:hAnsi="Gill Sans MT"/>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ascii="Gill Sans MT" w:cstheme="majorBidi" w:eastAsiaTheme="majorEastAsia" w:hAnsi="Gill Sans MT"/>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Colombia</dc:title>
  <dc:creator/>
  <cp:keywords/>
  <dcterms:created xsi:type="dcterms:W3CDTF">2024-05-19T18:09:44Z</dcterms:created>
  <dcterms:modified xsi:type="dcterms:W3CDTF">2024-05-19T18:09:44Z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