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983CD1" w14:textId="2D51EAC6" w:rsidR="00226C2E" w:rsidRDefault="00000000">
      <w:pPr>
        <w:pStyle w:val="Title"/>
      </w:pPr>
      <w:r>
        <w:t xml:space="preserve">FTF FY 2023 Performance Scorecard USAID </w:t>
      </w:r>
      <w:r w:rsidR="00E52E3C">
        <w:t>Fredonia</w:t>
      </w:r>
    </w:p>
    <w:p w14:paraId="3561F272" w14:textId="766814CE" w:rsidR="00226C2E" w:rsidRDefault="00000000">
      <w:pPr>
        <w:pStyle w:val="FirstParagraph"/>
      </w:pPr>
      <w:r>
        <w:t xml:space="preserve">This Feed the Future (FTF) Performance Scorecard assesses the REFS Bureau’s progress toward FY 2030 Performance Targets. There are two steps to calculate annual progress. The first is to calculate the annual values. The second step is to assess OU progress toward the FY 2030 targets. </w:t>
      </w:r>
    </w:p>
    <w:p w14:paraId="099ED510" w14:textId="678A07C5" w:rsidR="00226C2E" w:rsidRDefault="00000000">
      <w:pPr>
        <w:pStyle w:val="Heading1"/>
      </w:pPr>
      <w:bookmarkStart w:id="0" w:name="ftf-performance-overview"/>
      <w:r>
        <w:t>Performance Overview</w:t>
      </w:r>
    </w:p>
    <w:p w14:paraId="2D606B87" w14:textId="77777777" w:rsidR="00226C2E" w:rsidRDefault="00000000">
      <w:pPr>
        <w:pStyle w:val="FirstParagraph"/>
      </w:pPr>
      <w:r>
        <w:rPr>
          <w:noProof/>
        </w:rPr>
        <w:drawing>
          <wp:inline distT="0" distB="0" distL="0" distR="0" wp14:anchorId="3B66816E" wp14:editId="66801FFE">
            <wp:extent cx="5943600" cy="45720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23" name="Picture" descr="C:\Users\rythomas\Documents\R_scripts\country_scorecards\country_scorecards\output\USAID%20Bangladesh%20(BANGLADESH)_files/figure-docx/stars-1.png"/>
                    <pic:cNvPicPr>
                      <a:picLocks noChangeAspect="1" noChangeArrowheads="1"/>
                    </pic:cNvPicPr>
                  </pic:nvPicPr>
                  <pic:blipFill>
                    <a:blip r:embed="rId8"/>
                    <a:stretch>
                      <a:fillRect/>
                    </a:stretch>
                  </pic:blipFill>
                  <pic:spPr bwMode="auto">
                    <a:xfrm>
                      <a:off x="0" y="0"/>
                      <a:ext cx="5943600" cy="457200"/>
                    </a:xfrm>
                    <a:prstGeom prst="rect">
                      <a:avLst/>
                    </a:prstGeom>
                    <a:noFill/>
                    <a:ln w="9525">
                      <a:noFill/>
                      <a:headEnd/>
                      <a:tailEnd/>
                    </a:ln>
                  </pic:spPr>
                </pic:pic>
              </a:graphicData>
            </a:graphic>
          </wp:inline>
        </w:drawing>
      </w:r>
    </w:p>
    <w:p w14:paraId="6709F408" w14:textId="77777777" w:rsidR="00226C2E" w:rsidRDefault="00000000">
      <w:pPr>
        <w:pStyle w:val="BodyText"/>
      </w:pPr>
      <w:r>
        <w:t xml:space="preserve">The FY 2023 </w:t>
      </w:r>
      <w:r>
        <w:rPr>
          <w:b/>
          <w:bCs/>
        </w:rPr>
        <w:t>On track</w:t>
      </w:r>
      <w:r>
        <w:t xml:space="preserve"> value is determined by drawing a line from the baseline (FY 2022) to the FY 2030 Target. For FY 2023, Performance Targets are considered </w:t>
      </w:r>
      <w:r>
        <w:rPr>
          <w:b/>
          <w:bCs/>
        </w:rPr>
        <w:t>On track</w:t>
      </w:r>
      <w:r>
        <w:t xml:space="preserve"> if they have reported at least 90% of the that value.</w:t>
      </w:r>
    </w:p>
    <w:p w14:paraId="03E3B685" w14:textId="77777777" w:rsidR="00226C2E" w:rsidRDefault="00000000">
      <w:pPr>
        <w:pStyle w:val="BodyText"/>
      </w:pPr>
      <w:r>
        <w:rPr>
          <w:noProof/>
        </w:rPr>
        <w:drawing>
          <wp:inline distT="0" distB="0" distL="0" distR="0" wp14:anchorId="5C58349B" wp14:editId="3596D4A2">
            <wp:extent cx="5943600" cy="3381154"/>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26" name="Picture" descr="C:\Users\rythomas\Documents\R_scripts\country_scorecards\country_scorecards\output\USAID%20Bangladesh%20(BANGLADESH)_files/figure-docx/overview%20plot-1.png"/>
                    <pic:cNvPicPr>
                      <a:picLocks noChangeAspect="1" noChangeArrowheads="1"/>
                    </pic:cNvPicPr>
                  </pic:nvPicPr>
                  <pic:blipFill>
                    <a:blip r:embed="rId9"/>
                    <a:stretch>
                      <a:fillRect/>
                    </a:stretch>
                  </pic:blipFill>
                  <pic:spPr bwMode="auto">
                    <a:xfrm>
                      <a:off x="0" y="0"/>
                      <a:ext cx="5944328" cy="3381568"/>
                    </a:xfrm>
                    <a:prstGeom prst="rect">
                      <a:avLst/>
                    </a:prstGeom>
                    <a:noFill/>
                    <a:ln w="9525">
                      <a:noFill/>
                      <a:headEnd/>
                      <a:tailEnd/>
                    </a:ln>
                  </pic:spPr>
                </pic:pic>
              </a:graphicData>
            </a:graphic>
          </wp:inline>
        </w:drawing>
      </w:r>
    </w:p>
    <w:p w14:paraId="51DDB71A" w14:textId="77777777" w:rsidR="00226C2E" w:rsidRDefault="00000000">
      <w:pPr>
        <w:pStyle w:val="BodyText"/>
      </w:pPr>
      <w:r>
        <w:rPr>
          <w:b/>
          <w:bCs/>
        </w:rPr>
        <w:t>Note:</w:t>
      </w:r>
      <w:r>
        <w:t xml:space="preserve"> </w:t>
      </w:r>
      <w:r>
        <w:rPr>
          <w:i/>
          <w:iCs/>
        </w:rPr>
        <w:t>For Performance Target 2 (Gender financing ratio), the target is to increase financing to females for those OUs that are already achieving parity ($1).</w:t>
      </w:r>
    </w:p>
    <w:p w14:paraId="41C62F6C" w14:textId="77777777" w:rsidR="00226C2E" w:rsidRDefault="00000000">
      <w:pPr>
        <w:pStyle w:val="BodyText"/>
      </w:pPr>
      <w:r>
        <w:rPr>
          <w:i/>
          <w:iCs/>
        </w:rPr>
        <w:t>For Performance Target 4 (PSI), all targets are relative to the last three years’ reporting. In future years, the interim targets may increase.</w:t>
      </w:r>
    </w:p>
    <w:p w14:paraId="6B1606F1" w14:textId="77777777" w:rsidR="00226C2E" w:rsidRDefault="00000000">
      <w:pPr>
        <w:pStyle w:val="BodyText"/>
      </w:pPr>
      <w:r>
        <w:rPr>
          <w:i/>
          <w:iCs/>
        </w:rPr>
        <w:t>For Performance Target 5 (MDD-W), all FY23 actual values are also the baseline, and may have been collected in a prior year. See the detail page for more information.</w:t>
      </w:r>
    </w:p>
    <w:p w14:paraId="47153B0B" w14:textId="77777777" w:rsidR="00226C2E" w:rsidRDefault="00000000">
      <w:pPr>
        <w:pStyle w:val="BodyText"/>
      </w:pPr>
      <w:r>
        <w:rPr>
          <w:i/>
          <w:iCs/>
        </w:rPr>
        <w:t xml:space="preserve">See detailed </w:t>
      </w:r>
      <w:hyperlink r:id="rId10">
        <w:r>
          <w:rPr>
            <w:rStyle w:val="Hyperlink"/>
            <w:i/>
            <w:iCs/>
          </w:rPr>
          <w:t>methodology document</w:t>
        </w:r>
      </w:hyperlink>
      <w:r>
        <w:rPr>
          <w:i/>
          <w:iCs/>
        </w:rPr>
        <w:t xml:space="preserve"> here.</w:t>
      </w:r>
    </w:p>
    <w:p w14:paraId="1486F9A1" w14:textId="77777777" w:rsidR="00226C2E" w:rsidRDefault="00000000">
      <w:pPr>
        <w:pStyle w:val="Heading3"/>
      </w:pPr>
      <w:bookmarkStart w:id="1" w:name="performance-target-details"/>
      <w:r>
        <w:lastRenderedPageBreak/>
        <w:t>Performance Target Details</w:t>
      </w:r>
    </w:p>
    <w:p w14:paraId="192346CB" w14:textId="77777777" w:rsidR="00226C2E" w:rsidRDefault="00000000">
      <w:pPr>
        <w:pStyle w:val="Heading2"/>
      </w:pPr>
      <w:bookmarkStart w:id="2" w:name="X17c127a2a763806bc721e57d550ef0f46b38b4b"/>
      <w:bookmarkEnd w:id="1"/>
      <w:r>
        <w:t>Performance Target 1: Value of sales to USG-assisted individuals and firms</w:t>
      </w:r>
    </w:p>
    <w:p w14:paraId="795FA126" w14:textId="49496AB7" w:rsidR="00226C2E" w:rsidRDefault="00600B8A">
      <w:pPr>
        <w:pStyle w:val="FirstParagraph"/>
      </w:pPr>
      <w:r>
        <w:rPr>
          <w:noProof/>
        </w:rPr>
        <w:drawing>
          <wp:inline distT="0" distB="0" distL="0" distR="0" wp14:anchorId="208FBECE" wp14:editId="37591173">
            <wp:extent cx="5943600" cy="685800"/>
            <wp:effectExtent l="0" t="0" r="0" b="0"/>
            <wp:docPr id="916028771" name="Picture"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916028771" name="Picture" descr="Logo, company name&#10;&#10;Description automatically generated"/>
                    <pic:cNvPicPr>
                      <a:picLocks noChangeAspect="1" noChangeArrowheads="1"/>
                    </pic:cNvPicPr>
                  </pic:nvPicPr>
                  <pic:blipFill>
                    <a:blip r:embed="rId11"/>
                    <a:stretch>
                      <a:fillRect/>
                    </a:stretch>
                  </pic:blipFill>
                  <pic:spPr bwMode="auto">
                    <a:xfrm>
                      <a:off x="0" y="0"/>
                      <a:ext cx="5943600" cy="685800"/>
                    </a:xfrm>
                    <a:prstGeom prst="rect">
                      <a:avLst/>
                    </a:prstGeom>
                    <a:noFill/>
                    <a:ln w="9525">
                      <a:noFill/>
                      <a:headEnd/>
                      <a:tailEnd/>
                    </a:ln>
                  </pic:spPr>
                </pic:pic>
              </a:graphicData>
            </a:graphic>
          </wp:inline>
        </w:drawing>
      </w:r>
    </w:p>
    <w:p w14:paraId="64B632FA" w14:textId="6998F4D2" w:rsidR="00226C2E" w:rsidRDefault="00000000">
      <w:pPr>
        <w:pStyle w:val="BodyText"/>
      </w:pPr>
      <w:r>
        <w:t xml:space="preserve">In FY23, USAID </w:t>
      </w:r>
      <w:r w:rsidR="00E52E3C">
        <w:t>Fredonia</w:t>
      </w:r>
      <w:r>
        <w:t xml:space="preserve"> had 9 activities that aligned the ‘Value of annual sales from producers and firms receiving USG assistance’ (EG.3.2-26), and 7 contributed to the sales total of $1,780,800,000.</w:t>
      </w:r>
    </w:p>
    <w:p w14:paraId="3CCE8A8B" w14:textId="77777777" w:rsidR="00226C2E" w:rsidRDefault="00000000">
      <w:pPr>
        <w:pStyle w:val="BodyText"/>
      </w:pPr>
      <w:r>
        <w:rPr>
          <w:noProof/>
        </w:rPr>
        <w:drawing>
          <wp:inline distT="0" distB="0" distL="0" distR="0" wp14:anchorId="7F6BEF45" wp14:editId="6AC7277E">
            <wp:extent cx="5943600" cy="3657600"/>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33" name="Picture" descr="C:\Users\rythomas\Documents\R_scripts\country_scorecards\country_scorecards\output\USAID%20Bangladesh%20(BANGLADESH)_files/figure-docx/sales%20plot-1.png"/>
                    <pic:cNvPicPr>
                      <a:picLocks noChangeAspect="1" noChangeArrowheads="1"/>
                    </pic:cNvPicPr>
                  </pic:nvPicPr>
                  <pic:blipFill>
                    <a:blip r:embed="rId12"/>
                    <a:stretch>
                      <a:fillRect/>
                    </a:stretch>
                  </pic:blipFill>
                  <pic:spPr bwMode="auto">
                    <a:xfrm>
                      <a:off x="0" y="0"/>
                      <a:ext cx="5943600" cy="3657600"/>
                    </a:xfrm>
                    <a:prstGeom prst="rect">
                      <a:avLst/>
                    </a:prstGeom>
                    <a:noFill/>
                    <a:ln w="9525">
                      <a:noFill/>
                      <a:headEnd/>
                      <a:tailEnd/>
                    </a:ln>
                  </pic:spPr>
                </pic:pic>
              </a:graphicData>
            </a:graphic>
          </wp:inline>
        </w:drawing>
      </w:r>
    </w:p>
    <w:p w14:paraId="5AA5DBA6" w14:textId="77777777" w:rsidR="00226C2E" w:rsidRDefault="00000000">
      <w:pPr>
        <w:pStyle w:val="Heading3"/>
      </w:pPr>
      <w:bookmarkStart w:id="3" w:name="Xcdec7e81b0655c6f6ff45b20b05dbab149ec684"/>
      <w:r>
        <w:lastRenderedPageBreak/>
        <w:t>Performance Target 2: Gender financing ratio</w:t>
      </w:r>
    </w:p>
    <w:p w14:paraId="27E85163" w14:textId="77777777" w:rsidR="00226C2E" w:rsidRDefault="00000000">
      <w:pPr>
        <w:pStyle w:val="FirstParagraph"/>
      </w:pPr>
      <w:r>
        <w:rPr>
          <w:noProof/>
        </w:rPr>
        <w:drawing>
          <wp:inline distT="0" distB="0" distL="0" distR="0" wp14:anchorId="75430FAC" wp14:editId="28BD1FEA">
            <wp:extent cx="5943600" cy="685800"/>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36" name="Picture" descr="C:\Users\rythomas\Documents\R_scripts\country_scorecards\country_scorecards\output\USAID%20Bangladesh%20(BANGLADESH)_files/figure-docx/gender%20text-1.png"/>
                    <pic:cNvPicPr>
                      <a:picLocks noChangeAspect="1" noChangeArrowheads="1"/>
                    </pic:cNvPicPr>
                  </pic:nvPicPr>
                  <pic:blipFill>
                    <a:blip r:embed="rId11"/>
                    <a:stretch>
                      <a:fillRect/>
                    </a:stretch>
                  </pic:blipFill>
                  <pic:spPr bwMode="auto">
                    <a:xfrm>
                      <a:off x="0" y="0"/>
                      <a:ext cx="5943600" cy="685800"/>
                    </a:xfrm>
                    <a:prstGeom prst="rect">
                      <a:avLst/>
                    </a:prstGeom>
                    <a:noFill/>
                    <a:ln w="9525">
                      <a:noFill/>
                      <a:headEnd/>
                      <a:tailEnd/>
                    </a:ln>
                  </pic:spPr>
                </pic:pic>
              </a:graphicData>
            </a:graphic>
          </wp:inline>
        </w:drawing>
      </w:r>
    </w:p>
    <w:p w14:paraId="168713E4" w14:textId="77777777" w:rsidR="00226C2E" w:rsidRDefault="00000000">
      <w:pPr>
        <w:pStyle w:val="BodyText"/>
      </w:pPr>
      <w:r>
        <w:rPr>
          <w:noProof/>
        </w:rPr>
        <w:drawing>
          <wp:inline distT="0" distB="0" distL="0" distR="0" wp14:anchorId="7A7E132B" wp14:editId="51B25D8B">
            <wp:extent cx="5943600" cy="3657600"/>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39" name="Picture" descr="C:\Users\rythomas\Documents\R_scripts\country_scorecards\country_scorecards\output\USAID%20Bangladesh%20(BANGLADESH)_files/figure-docx/gender%20plot-1.png"/>
                    <pic:cNvPicPr>
                      <a:picLocks noChangeAspect="1" noChangeArrowheads="1"/>
                    </pic:cNvPicPr>
                  </pic:nvPicPr>
                  <pic:blipFill>
                    <a:blip r:embed="rId13"/>
                    <a:stretch>
                      <a:fillRect/>
                    </a:stretch>
                  </pic:blipFill>
                  <pic:spPr bwMode="auto">
                    <a:xfrm>
                      <a:off x="0" y="0"/>
                      <a:ext cx="5943600" cy="3657600"/>
                    </a:xfrm>
                    <a:prstGeom prst="rect">
                      <a:avLst/>
                    </a:prstGeom>
                    <a:noFill/>
                    <a:ln w="9525">
                      <a:noFill/>
                      <a:headEnd/>
                      <a:tailEnd/>
                    </a:ln>
                  </pic:spPr>
                </pic:pic>
              </a:graphicData>
            </a:graphic>
          </wp:inline>
        </w:drawing>
      </w:r>
    </w:p>
    <w:p w14:paraId="5712CBE5" w14:textId="1131753A" w:rsidR="00226C2E" w:rsidRDefault="00000000">
      <w:pPr>
        <w:pStyle w:val="BodyText"/>
      </w:pPr>
      <w:r>
        <w:t xml:space="preserve">In FY23, USAID </w:t>
      </w:r>
      <w:r w:rsidR="00E52E3C">
        <w:t>Fredonia had</w:t>
      </w:r>
      <w:r>
        <w:t xml:space="preserve"> 3 IMs/Activities that reported all four sex disaggregates needed to contribute to PT2. The total value of financing among all activities, regardless of disaggregates, was $11,190,000 (EG.3.2-27 total), with $11,190,000 that was disaggregated to males and females, and an additional $0 to firms with both males and females and NA that was not sex disaggregated.</w:t>
      </w:r>
    </w:p>
    <w:p w14:paraId="072507A2" w14:textId="77777777" w:rsidR="00226C2E" w:rsidRDefault="00000000">
      <w:pPr>
        <w:pStyle w:val="Heading3"/>
      </w:pPr>
      <w:bookmarkStart w:id="4" w:name="X48ef6284cc391e98af1833b0f0ae4743edba095"/>
      <w:bookmarkEnd w:id="3"/>
      <w:r>
        <w:lastRenderedPageBreak/>
        <w:t>Performance Target 3: Hectares under climate adaptation and risk management practices</w:t>
      </w:r>
    </w:p>
    <w:p w14:paraId="32A2737F" w14:textId="77777777" w:rsidR="00226C2E" w:rsidRDefault="00000000">
      <w:pPr>
        <w:pStyle w:val="FirstParagraph"/>
      </w:pPr>
      <w:r>
        <w:rPr>
          <w:noProof/>
        </w:rPr>
        <w:drawing>
          <wp:inline distT="0" distB="0" distL="0" distR="0" wp14:anchorId="42BB8054" wp14:editId="2E36E065">
            <wp:extent cx="5943600" cy="68580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C:\Users\rythomas\Documents\R_scripts\country_scorecards\country_scorecards\output\USAID%20Bangladesh%20(BANGLADESH)_files/figure-docx/hectares%20text-1.png"/>
                    <pic:cNvPicPr>
                      <a:picLocks noChangeAspect="1" noChangeArrowheads="1"/>
                    </pic:cNvPicPr>
                  </pic:nvPicPr>
                  <pic:blipFill>
                    <a:blip r:embed="rId14"/>
                    <a:stretch>
                      <a:fillRect/>
                    </a:stretch>
                  </pic:blipFill>
                  <pic:spPr bwMode="auto">
                    <a:xfrm>
                      <a:off x="0" y="0"/>
                      <a:ext cx="5943600" cy="685800"/>
                    </a:xfrm>
                    <a:prstGeom prst="rect">
                      <a:avLst/>
                    </a:prstGeom>
                    <a:noFill/>
                    <a:ln w="9525">
                      <a:noFill/>
                      <a:headEnd/>
                      <a:tailEnd/>
                    </a:ln>
                  </pic:spPr>
                </pic:pic>
              </a:graphicData>
            </a:graphic>
          </wp:inline>
        </w:drawing>
      </w:r>
    </w:p>
    <w:p w14:paraId="1D3597F8" w14:textId="77777777" w:rsidR="00226C2E" w:rsidRDefault="00000000">
      <w:pPr>
        <w:pStyle w:val="BodyText"/>
      </w:pPr>
      <w:r>
        <w:rPr>
          <w:noProof/>
        </w:rPr>
        <w:drawing>
          <wp:inline distT="0" distB="0" distL="0" distR="0" wp14:anchorId="0A4B6048" wp14:editId="08B9589E">
            <wp:extent cx="5943600" cy="3657600"/>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46" name="Picture" descr="C:\Users\rythomas\Documents\R_scripts\country_scorecards\country_scorecards\output\USAID%20Bangladesh%20(BANGLADESH)_files/figure-docx/hectares%20plot-1.png"/>
                    <pic:cNvPicPr>
                      <a:picLocks noChangeAspect="1" noChangeArrowheads="1"/>
                    </pic:cNvPicPr>
                  </pic:nvPicPr>
                  <pic:blipFill>
                    <a:blip r:embed="rId15"/>
                    <a:stretch>
                      <a:fillRect/>
                    </a:stretch>
                  </pic:blipFill>
                  <pic:spPr bwMode="auto">
                    <a:xfrm>
                      <a:off x="0" y="0"/>
                      <a:ext cx="5943600" cy="3657600"/>
                    </a:xfrm>
                    <a:prstGeom prst="rect">
                      <a:avLst/>
                    </a:prstGeom>
                    <a:noFill/>
                    <a:ln w="9525">
                      <a:noFill/>
                      <a:headEnd/>
                      <a:tailEnd/>
                    </a:ln>
                  </pic:spPr>
                </pic:pic>
              </a:graphicData>
            </a:graphic>
          </wp:inline>
        </w:drawing>
      </w:r>
    </w:p>
    <w:p w14:paraId="2C13CDDA" w14:textId="5A5CE5B7" w:rsidR="00226C2E" w:rsidRDefault="00000000">
      <w:pPr>
        <w:pStyle w:val="BodyText"/>
      </w:pPr>
      <w:r>
        <w:t xml:space="preserve">In FY23, USAID </w:t>
      </w:r>
      <w:r w:rsidR="00E52E3C">
        <w:t>Fredonia</w:t>
      </w:r>
      <w:r>
        <w:t xml:space="preserve"> had 19 activities that aligned the indicator for hectares under improved management practices (EG.3.2-25). Of those activities, 3 reported on the ‘Climate adaptation/climate risk management’ disaggregate and contributed to the OU total for this PT.</w:t>
      </w:r>
    </w:p>
    <w:p w14:paraId="0ECCE5FC" w14:textId="77777777" w:rsidR="00226C2E" w:rsidRDefault="00000000">
      <w:pPr>
        <w:pStyle w:val="Heading3"/>
      </w:pPr>
      <w:bookmarkStart w:id="5" w:name="Xf44fd63cc449e0f7cf0e0f231ad83f97fd09637"/>
      <w:bookmarkEnd w:id="4"/>
      <w:r>
        <w:lastRenderedPageBreak/>
        <w:t>Performance Target 4: Private sector investment leveraged by USG-assisted firms and individuals</w:t>
      </w:r>
    </w:p>
    <w:p w14:paraId="659FBA74" w14:textId="77777777" w:rsidR="00226C2E" w:rsidRDefault="00000000">
      <w:pPr>
        <w:pStyle w:val="FirstParagraph"/>
      </w:pPr>
      <w:r>
        <w:rPr>
          <w:noProof/>
        </w:rPr>
        <w:drawing>
          <wp:inline distT="0" distB="0" distL="0" distR="0" wp14:anchorId="49894A30" wp14:editId="32EFF465">
            <wp:extent cx="5943600" cy="685800"/>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50" name="Picture" descr="C:\Users\rythomas\Documents\R_scripts\country_scorecards\country_scorecards\output\USAID%20Bangladesh%20(BANGLADESH)_files/figure-docx/PSI%20text-1.png"/>
                    <pic:cNvPicPr>
                      <a:picLocks noChangeAspect="1" noChangeArrowheads="1"/>
                    </pic:cNvPicPr>
                  </pic:nvPicPr>
                  <pic:blipFill>
                    <a:blip r:embed="rId11"/>
                    <a:stretch>
                      <a:fillRect/>
                    </a:stretch>
                  </pic:blipFill>
                  <pic:spPr bwMode="auto">
                    <a:xfrm>
                      <a:off x="0" y="0"/>
                      <a:ext cx="5943600" cy="685800"/>
                    </a:xfrm>
                    <a:prstGeom prst="rect">
                      <a:avLst/>
                    </a:prstGeom>
                    <a:noFill/>
                    <a:ln w="9525">
                      <a:noFill/>
                      <a:headEnd/>
                      <a:tailEnd/>
                    </a:ln>
                  </pic:spPr>
                </pic:pic>
              </a:graphicData>
            </a:graphic>
          </wp:inline>
        </w:drawing>
      </w:r>
    </w:p>
    <w:p w14:paraId="3BC0E00A" w14:textId="77777777" w:rsidR="00226C2E" w:rsidRDefault="00000000">
      <w:pPr>
        <w:pStyle w:val="BodyText"/>
      </w:pPr>
      <w:r>
        <w:rPr>
          <w:noProof/>
        </w:rPr>
        <w:drawing>
          <wp:inline distT="0" distB="0" distL="0" distR="0" wp14:anchorId="3A7FA22E" wp14:editId="4D7D903C">
            <wp:extent cx="5943600" cy="3169919"/>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53" name="Picture" descr="C:\Users\rythomas\Documents\R_scripts\country_scorecards\country_scorecards\output\USAID%20Bangladesh%20(BANGLADESH)_files/figure-docx/PSI%20details-1.png"/>
                    <pic:cNvPicPr>
                      <a:picLocks noChangeAspect="1" noChangeArrowheads="1"/>
                    </pic:cNvPicPr>
                  </pic:nvPicPr>
                  <pic:blipFill>
                    <a:blip r:embed="rId16"/>
                    <a:stretch>
                      <a:fillRect/>
                    </a:stretch>
                  </pic:blipFill>
                  <pic:spPr bwMode="auto">
                    <a:xfrm>
                      <a:off x="0" y="0"/>
                      <a:ext cx="5943600" cy="3169919"/>
                    </a:xfrm>
                    <a:prstGeom prst="rect">
                      <a:avLst/>
                    </a:prstGeom>
                    <a:noFill/>
                    <a:ln w="9525">
                      <a:noFill/>
                      <a:headEnd/>
                      <a:tailEnd/>
                    </a:ln>
                  </pic:spPr>
                </pic:pic>
              </a:graphicData>
            </a:graphic>
          </wp:inline>
        </w:drawing>
      </w:r>
    </w:p>
    <w:p w14:paraId="715FA8AF" w14:textId="6E454573" w:rsidR="00226C2E" w:rsidRDefault="00000000">
      <w:pPr>
        <w:pStyle w:val="BodyText"/>
      </w:pPr>
      <w:r>
        <w:t xml:space="preserve">In FY23, USAID </w:t>
      </w:r>
      <w:r w:rsidR="00E52E3C">
        <w:t xml:space="preserve">Fredonia </w:t>
      </w:r>
      <w:r>
        <w:t>had 7 activities that aligned the private sector investment indicator (EG.3.1-15/-14), ‘Value of new private sector investment leveraged by the USG to support food security and nutrition’, and 7 contributed to the OU total in FY2023.</w:t>
      </w:r>
    </w:p>
    <w:p w14:paraId="7DD74598" w14:textId="77777777" w:rsidR="00226C2E" w:rsidRDefault="00000000">
      <w:pPr>
        <w:pStyle w:val="Heading3"/>
      </w:pPr>
      <w:bookmarkStart w:id="6" w:name="X5813b8f5d89f96490968ee4b83f0babe88fc2e3"/>
      <w:bookmarkEnd w:id="5"/>
      <w:r>
        <w:lastRenderedPageBreak/>
        <w:t>Performance Target 5: Minimum Dietary Diversity for Women</w:t>
      </w:r>
    </w:p>
    <w:p w14:paraId="4695DA85" w14:textId="77777777" w:rsidR="00226C2E" w:rsidRDefault="00000000">
      <w:pPr>
        <w:pStyle w:val="FirstParagraph"/>
      </w:pPr>
      <w:r>
        <w:rPr>
          <w:noProof/>
        </w:rPr>
        <w:drawing>
          <wp:inline distT="0" distB="0" distL="0" distR="0" wp14:anchorId="6513193F" wp14:editId="28BC82B8">
            <wp:extent cx="5943600" cy="685800"/>
            <wp:effectExtent l="0" t="0" r="0" b="0"/>
            <wp:docPr id="56" name="Picture"/>
            <wp:cNvGraphicFramePr/>
            <a:graphic xmlns:a="http://schemas.openxmlformats.org/drawingml/2006/main">
              <a:graphicData uri="http://schemas.openxmlformats.org/drawingml/2006/picture">
                <pic:pic xmlns:pic="http://schemas.openxmlformats.org/drawingml/2006/picture">
                  <pic:nvPicPr>
                    <pic:cNvPr id="57" name="Picture" descr="C:\Users\rythomas\Documents\R_scripts\country_scorecards\country_scorecards\output\USAID%20Bangladesh%20(BANGLADESH)_files/figure-docx/mddw%20details-1.png"/>
                    <pic:cNvPicPr>
                      <a:picLocks noChangeAspect="1" noChangeArrowheads="1"/>
                    </pic:cNvPicPr>
                  </pic:nvPicPr>
                  <pic:blipFill>
                    <a:blip r:embed="rId17"/>
                    <a:stretch>
                      <a:fillRect/>
                    </a:stretch>
                  </pic:blipFill>
                  <pic:spPr bwMode="auto">
                    <a:xfrm>
                      <a:off x="0" y="0"/>
                      <a:ext cx="5943600" cy="685800"/>
                    </a:xfrm>
                    <a:prstGeom prst="rect">
                      <a:avLst/>
                    </a:prstGeom>
                    <a:noFill/>
                    <a:ln w="9525">
                      <a:noFill/>
                      <a:headEnd/>
                      <a:tailEnd/>
                    </a:ln>
                  </pic:spPr>
                </pic:pic>
              </a:graphicData>
            </a:graphic>
          </wp:inline>
        </w:drawing>
      </w:r>
    </w:p>
    <w:p w14:paraId="7DECF55B" w14:textId="661A459B" w:rsidR="00226C2E" w:rsidRDefault="00E52E3C">
      <w:pPr>
        <w:pStyle w:val="BodyText"/>
      </w:pPr>
      <w:r>
        <w:rPr>
          <w:noProof/>
        </w:rPr>
        <w:drawing>
          <wp:inline distT="0" distB="0" distL="0" distR="0" wp14:anchorId="335AB0DB" wp14:editId="085954E3">
            <wp:extent cx="5943600" cy="4572000"/>
            <wp:effectExtent l="0" t="0" r="0" b="0"/>
            <wp:docPr id="11858022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068DAA7C" w14:textId="1F97EE99" w:rsidR="00226C2E" w:rsidRDefault="00E52E3C" w:rsidP="00E52E3C">
      <w:pPr>
        <w:pStyle w:val="BodyText"/>
      </w:pPr>
      <w:r>
        <w:t xml:space="preserve">The most recent population-based survey (PBS) in USAID </w:t>
      </w:r>
      <w:r>
        <w:t>was in 2021 and it</w:t>
      </w:r>
      <w:r>
        <w:t xml:space="preserve"> showed that </w:t>
      </w:r>
      <w:r>
        <w:t xml:space="preserve">66 percent </w:t>
      </w:r>
      <w:r>
        <w:t xml:space="preserve">of women in the lowest income quintile within the ZOI had access to </w:t>
      </w:r>
      <w:r w:rsidR="00600B8A">
        <w:t>a diet of minimum diversity</w:t>
      </w:r>
      <w:r>
        <w:t xml:space="preserve">. </w:t>
      </w:r>
      <w:r>
        <w:t xml:space="preserve">The FY30 target is </w:t>
      </w:r>
      <w:r>
        <w:t>80</w:t>
      </w:r>
      <w:r>
        <w:t xml:space="preserve"> percent</w:t>
      </w:r>
      <w:r>
        <w:t xml:space="preserve">. </w:t>
      </w:r>
      <w:r>
        <w:t xml:space="preserve">The next PBS is scheduled for </w:t>
      </w:r>
      <w:r>
        <w:t>2025 and will show progress toward the target.</w:t>
      </w:r>
    </w:p>
    <w:p w14:paraId="03D2056E" w14:textId="4217A15E" w:rsidR="00226C2E" w:rsidRDefault="00F52FC2" w:rsidP="00F52FC2">
      <w:pPr>
        <w:pStyle w:val="Heading3"/>
        <w:jc w:val="left"/>
      </w:pPr>
      <w:bookmarkStart w:id="7" w:name="country-context"/>
      <w:bookmarkEnd w:id="6"/>
      <w:r>
        <w:lastRenderedPageBreak/>
        <w:t>National</w:t>
      </w:r>
      <w:r w:rsidR="00000000">
        <w:t xml:space="preserve"> Context</w:t>
      </w:r>
      <w:r>
        <w:rPr>
          <w:noProof/>
        </w:rPr>
        <w:drawing>
          <wp:inline distT="0" distB="0" distL="0" distR="0" wp14:anchorId="69A78377" wp14:editId="4A3D55C0">
            <wp:extent cx="5943600" cy="4327525"/>
            <wp:effectExtent l="0" t="0" r="0" b="0"/>
            <wp:docPr id="77662834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628345" name="Picture 5" descr="A picture containing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327525"/>
                    </a:xfrm>
                    <a:prstGeom prst="rect">
                      <a:avLst/>
                    </a:prstGeom>
                    <a:noFill/>
                    <a:ln>
                      <a:noFill/>
                    </a:ln>
                  </pic:spPr>
                </pic:pic>
              </a:graphicData>
            </a:graphic>
          </wp:inline>
        </w:drawing>
      </w:r>
    </w:p>
    <w:p w14:paraId="2B271126" w14:textId="5CA7D004" w:rsidR="00226C2E" w:rsidRDefault="00226C2E">
      <w:pPr>
        <w:pStyle w:val="FirstParagraph"/>
      </w:pPr>
    </w:p>
    <w:p w14:paraId="6744EA13" w14:textId="77777777" w:rsidR="00F52FC2" w:rsidRDefault="00F52FC2">
      <w:pPr>
        <w:rPr>
          <w:rFonts w:ascii="Gill Sans MT" w:eastAsiaTheme="majorEastAsia" w:hAnsi="Gill Sans MT" w:cstheme="majorBidi"/>
          <w:b/>
          <w:bCs/>
          <w:color w:val="C00000"/>
          <w:sz w:val="32"/>
          <w:szCs w:val="32"/>
        </w:rPr>
      </w:pPr>
      <w:bookmarkStart w:id="8" w:name="agricultural-transformation-index-score"/>
      <w:bookmarkEnd w:id="2"/>
      <w:bookmarkEnd w:id="7"/>
      <w:r>
        <w:br w:type="page"/>
      </w:r>
    </w:p>
    <w:p w14:paraId="14C99D86" w14:textId="1F966246" w:rsidR="00226C2E" w:rsidRDefault="00000000">
      <w:pPr>
        <w:pStyle w:val="Heading2"/>
      </w:pPr>
      <w:r>
        <w:lastRenderedPageBreak/>
        <w:t>Agricultural Transformation Index Score</w:t>
      </w:r>
    </w:p>
    <w:p w14:paraId="15ACD26F" w14:textId="77777777" w:rsidR="00226C2E" w:rsidRDefault="00000000">
      <w:pPr>
        <w:pStyle w:val="FirstParagraph"/>
      </w:pPr>
      <w:r>
        <w:t xml:space="preserve">REFS/FTF-PAE uses the </w:t>
      </w:r>
      <w:hyperlink r:id="rId20">
        <w:r>
          <w:rPr>
            <w:rStyle w:val="Hyperlink"/>
          </w:rPr>
          <w:t>IFPRI Agricultural Transformation Index (ATI)</w:t>
        </w:r>
      </w:hyperlink>
      <w:r>
        <w:t xml:space="preserve"> Score as a high level indicator of the status of agricultural market systems in each country.</w:t>
      </w:r>
    </w:p>
    <w:p w14:paraId="22119B02" w14:textId="77777777" w:rsidR="00226C2E" w:rsidRDefault="00000000">
      <w:pPr>
        <w:pStyle w:val="BodyText"/>
      </w:pPr>
      <w:r>
        <w:rPr>
          <w:noProof/>
        </w:rPr>
        <w:drawing>
          <wp:inline distT="0" distB="0" distL="0" distR="0" wp14:anchorId="470539A8" wp14:editId="2E81C949">
            <wp:extent cx="5943600" cy="3657600"/>
            <wp:effectExtent l="0" t="0" r="0" b="0"/>
            <wp:docPr id="69" name="Picture"/>
            <wp:cNvGraphicFramePr/>
            <a:graphic xmlns:a="http://schemas.openxmlformats.org/drawingml/2006/main">
              <a:graphicData uri="http://schemas.openxmlformats.org/drawingml/2006/picture">
                <pic:pic xmlns:pic="http://schemas.openxmlformats.org/drawingml/2006/picture">
                  <pic:nvPicPr>
                    <pic:cNvPr id="70" name="Picture" descr="C:\Users\rythomas\Documents\R_scripts\country_scorecards\country_scorecards\output\USAID%20Bangladesh%20(BANGLADESH)_files/figure-docx/ati%20plot-1.png"/>
                    <pic:cNvPicPr>
                      <a:picLocks noChangeAspect="1" noChangeArrowheads="1"/>
                    </pic:cNvPicPr>
                  </pic:nvPicPr>
                  <pic:blipFill>
                    <a:blip r:embed="rId21"/>
                    <a:stretch>
                      <a:fillRect/>
                    </a:stretch>
                  </pic:blipFill>
                  <pic:spPr bwMode="auto">
                    <a:xfrm>
                      <a:off x="0" y="0"/>
                      <a:ext cx="5943600" cy="3657600"/>
                    </a:xfrm>
                    <a:prstGeom prst="rect">
                      <a:avLst/>
                    </a:prstGeom>
                    <a:noFill/>
                    <a:ln w="9525">
                      <a:noFill/>
                      <a:headEnd/>
                      <a:tailEnd/>
                    </a:ln>
                  </pic:spPr>
                </pic:pic>
              </a:graphicData>
            </a:graphic>
          </wp:inline>
        </w:drawing>
      </w:r>
    </w:p>
    <w:p w14:paraId="5229378C" w14:textId="77777777" w:rsidR="00F52FC2" w:rsidRDefault="00F52FC2">
      <w:pPr>
        <w:rPr>
          <w:rFonts w:ascii="Gill Sans MT" w:eastAsiaTheme="majorEastAsia" w:hAnsi="Gill Sans MT" w:cstheme="majorBidi"/>
          <w:b/>
          <w:bCs/>
          <w:color w:val="C00000"/>
          <w:sz w:val="32"/>
          <w:szCs w:val="32"/>
        </w:rPr>
      </w:pPr>
      <w:bookmarkStart w:id="9" w:name="budget-trend"/>
      <w:bookmarkEnd w:id="8"/>
      <w:r>
        <w:br w:type="page"/>
      </w:r>
    </w:p>
    <w:p w14:paraId="1874556D" w14:textId="59D4C227" w:rsidR="00226C2E" w:rsidRDefault="00000000">
      <w:pPr>
        <w:pStyle w:val="Heading2"/>
      </w:pPr>
      <w:r>
        <w:lastRenderedPageBreak/>
        <w:t>Budget Trend</w:t>
      </w:r>
    </w:p>
    <w:p w14:paraId="41FDE4D4" w14:textId="77777777" w:rsidR="00226C2E" w:rsidRDefault="00000000">
      <w:pPr>
        <w:pStyle w:val="FirstParagraph"/>
      </w:pPr>
      <w:r>
        <w:t>At the Operating Unit level, the Performance Targets are based in part on the FY 2023 budget request. For the REFS Bureau, this value was divided by two to account for the large proportion of the budget that does not report on Performance Target indicators.</w:t>
      </w:r>
    </w:p>
    <w:p w14:paraId="444075A1" w14:textId="77777777" w:rsidR="00226C2E" w:rsidRDefault="00000000">
      <w:pPr>
        <w:pStyle w:val="BodyText"/>
      </w:pPr>
      <w:r>
        <w:rPr>
          <w:noProof/>
        </w:rPr>
        <w:drawing>
          <wp:inline distT="0" distB="0" distL="0" distR="0" wp14:anchorId="4413B489" wp14:editId="38656AD6">
            <wp:extent cx="4360985" cy="3087859"/>
            <wp:effectExtent l="0" t="0" r="1905" b="0"/>
            <wp:docPr id="73" name="Picture"/>
            <wp:cNvGraphicFramePr/>
            <a:graphic xmlns:a="http://schemas.openxmlformats.org/drawingml/2006/main">
              <a:graphicData uri="http://schemas.openxmlformats.org/drawingml/2006/picture">
                <pic:pic xmlns:pic="http://schemas.openxmlformats.org/drawingml/2006/picture">
                  <pic:nvPicPr>
                    <pic:cNvPr id="74" name="Picture" descr="C:\Users\rythomas\Documents\R_scripts\country_scorecards\country_scorecards\output\USAID%20Bangladesh%20(BANGLADESH)_files/figure-docx/budget%20plot-1.png"/>
                    <pic:cNvPicPr>
                      <a:picLocks noChangeAspect="1" noChangeArrowheads="1"/>
                    </pic:cNvPicPr>
                  </pic:nvPicPr>
                  <pic:blipFill>
                    <a:blip r:embed="rId22"/>
                    <a:stretch>
                      <a:fillRect/>
                    </a:stretch>
                  </pic:blipFill>
                  <pic:spPr bwMode="auto">
                    <a:xfrm>
                      <a:off x="0" y="0"/>
                      <a:ext cx="4368572" cy="3093231"/>
                    </a:xfrm>
                    <a:prstGeom prst="rect">
                      <a:avLst/>
                    </a:prstGeom>
                    <a:noFill/>
                    <a:ln w="9525">
                      <a:noFill/>
                      <a:headEnd/>
                      <a:tailEnd/>
                    </a:ln>
                  </pic:spPr>
                </pic:pic>
              </a:graphicData>
            </a:graphic>
          </wp:inline>
        </w:drawing>
      </w:r>
    </w:p>
    <w:p w14:paraId="72A7994E" w14:textId="77777777" w:rsidR="00F52FC2" w:rsidRDefault="00F52FC2">
      <w:pPr>
        <w:rPr>
          <w:rFonts w:ascii="Gill Sans MT" w:eastAsiaTheme="majorEastAsia" w:hAnsi="Gill Sans MT" w:cstheme="majorBidi"/>
          <w:b/>
          <w:bCs/>
          <w:color w:val="C00000"/>
          <w:sz w:val="32"/>
          <w:szCs w:val="32"/>
        </w:rPr>
      </w:pPr>
      <w:bookmarkStart w:id="10" w:name="active-portfolio"/>
      <w:bookmarkEnd w:id="9"/>
      <w:r>
        <w:br w:type="page"/>
      </w:r>
    </w:p>
    <w:p w14:paraId="77ED6871" w14:textId="2CDD9E29" w:rsidR="00226C2E" w:rsidRDefault="00F52FC2">
      <w:pPr>
        <w:pStyle w:val="Heading2"/>
      </w:pPr>
      <w:r>
        <w:rPr>
          <w:noProof/>
        </w:rPr>
        <w:lastRenderedPageBreak/>
        <w:drawing>
          <wp:inline distT="0" distB="0" distL="0" distR="0" wp14:anchorId="42E2C741" wp14:editId="4592844A">
            <wp:extent cx="5943600" cy="8229600"/>
            <wp:effectExtent l="0" t="0" r="0" b="0"/>
            <wp:docPr id="9356049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8229600"/>
                    </a:xfrm>
                    <a:prstGeom prst="rect">
                      <a:avLst/>
                    </a:prstGeom>
                    <a:noFill/>
                    <a:ln>
                      <a:noFill/>
                    </a:ln>
                  </pic:spPr>
                </pic:pic>
              </a:graphicData>
            </a:graphic>
          </wp:inline>
        </w:drawing>
      </w:r>
      <w:r w:rsidR="00000000">
        <w:lastRenderedPageBreak/>
        <w:t>Active Portfolio</w:t>
      </w:r>
    </w:p>
    <w:p w14:paraId="69CCB7C6" w14:textId="77777777" w:rsidR="00226C2E" w:rsidRDefault="00000000">
      <w:pPr>
        <w:pStyle w:val="FirstParagraph"/>
      </w:pPr>
      <w:r>
        <w:t>The following activities are considered “active” based on their reporting in FY 2023 and expected FY 2024 reporting. The Analytics, Data and Learning Division defines an “active” activity as one that reported non-NA values for targets, actuals, or deviation narratives for the current year (FY 2023), or the next out-year targets.</w:t>
      </w:r>
    </w:p>
    <w:p w14:paraId="6DB32987" w14:textId="77777777" w:rsidR="00226C2E" w:rsidRDefault="00000000">
      <w:pPr>
        <w:pStyle w:val="Heading2"/>
      </w:pPr>
      <w:bookmarkStart w:id="11" w:name="high-reporting-activities"/>
      <w:bookmarkEnd w:id="10"/>
      <w:r>
        <w:t>High-reporting Activities</w:t>
      </w:r>
    </w:p>
    <w:p w14:paraId="608D9D38" w14:textId="01C9477B" w:rsidR="00226C2E" w:rsidRDefault="00000000" w:rsidP="00F52FC2">
      <w:pPr>
        <w:pStyle w:val="FirstParagraph"/>
      </w:pPr>
      <w:r>
        <w:t xml:space="preserve">The following activities are in the top three for at least one indicator. </w:t>
      </w:r>
    </w:p>
    <w:tbl>
      <w:tblPr>
        <w:tblStyle w:val="Table"/>
        <w:tblW w:w="4846" w:type="pct"/>
        <w:tblLook w:val="0020" w:firstRow="1" w:lastRow="0" w:firstColumn="0" w:lastColumn="0" w:noHBand="0" w:noVBand="0"/>
      </w:tblPr>
      <w:tblGrid>
        <w:gridCol w:w="2456"/>
        <w:gridCol w:w="1401"/>
        <w:gridCol w:w="1765"/>
        <w:gridCol w:w="2031"/>
        <w:gridCol w:w="1419"/>
      </w:tblGrid>
      <w:tr w:rsidR="00226C2E" w14:paraId="4F534AA5" w14:textId="77777777" w:rsidTr="00F52FC2">
        <w:trPr>
          <w:cnfStyle w:val="100000000000" w:firstRow="1" w:lastRow="0" w:firstColumn="0" w:lastColumn="0" w:oddVBand="0" w:evenVBand="0" w:oddHBand="0" w:evenHBand="0" w:firstRowFirstColumn="0" w:firstRowLastColumn="0" w:lastRowFirstColumn="0" w:lastRowLastColumn="0"/>
          <w:trHeight w:val="486"/>
        </w:trPr>
        <w:tc>
          <w:tcPr>
            <w:tcW w:w="0" w:type="auto"/>
          </w:tcPr>
          <w:p w14:paraId="33D5557F" w14:textId="77777777" w:rsidR="00226C2E" w:rsidRDefault="00000000">
            <w:pPr>
              <w:pStyle w:val="Compact"/>
              <w:jc w:val="left"/>
            </w:pPr>
            <w:r>
              <w:t>Activity Name</w:t>
            </w:r>
          </w:p>
        </w:tc>
        <w:tc>
          <w:tcPr>
            <w:tcW w:w="0" w:type="auto"/>
          </w:tcPr>
          <w:p w14:paraId="1A3DAF0C" w14:textId="77777777" w:rsidR="00226C2E" w:rsidRDefault="00000000">
            <w:pPr>
              <w:pStyle w:val="Compact"/>
              <w:jc w:val="left"/>
            </w:pPr>
            <w:r>
              <w:t>Activity End Date</w:t>
            </w:r>
          </w:p>
        </w:tc>
        <w:tc>
          <w:tcPr>
            <w:tcW w:w="0" w:type="auto"/>
          </w:tcPr>
          <w:p w14:paraId="4B7124E4" w14:textId="77777777" w:rsidR="00226C2E" w:rsidRDefault="00000000">
            <w:pPr>
              <w:pStyle w:val="Compact"/>
              <w:jc w:val="left"/>
            </w:pPr>
            <w:r>
              <w:t>Managing Office</w:t>
            </w:r>
          </w:p>
        </w:tc>
        <w:tc>
          <w:tcPr>
            <w:tcW w:w="0" w:type="auto"/>
          </w:tcPr>
          <w:p w14:paraId="4EA12E3F" w14:textId="77777777" w:rsidR="00226C2E" w:rsidRDefault="00000000">
            <w:pPr>
              <w:pStyle w:val="Compact"/>
              <w:jc w:val="left"/>
            </w:pPr>
            <w:r>
              <w:t>Relevant Indicator Codes</w:t>
            </w:r>
          </w:p>
        </w:tc>
        <w:tc>
          <w:tcPr>
            <w:tcW w:w="0" w:type="auto"/>
          </w:tcPr>
          <w:p w14:paraId="1878048D" w14:textId="77777777" w:rsidR="00226C2E" w:rsidRDefault="00000000">
            <w:pPr>
              <w:pStyle w:val="Compact"/>
              <w:jc w:val="left"/>
            </w:pPr>
            <w:r>
              <w:t>TEC amount</w:t>
            </w:r>
          </w:p>
        </w:tc>
      </w:tr>
      <w:tr w:rsidR="00226C2E" w14:paraId="7F2115BD" w14:textId="77777777" w:rsidTr="00F52FC2">
        <w:trPr>
          <w:trHeight w:val="897"/>
        </w:trPr>
        <w:tc>
          <w:tcPr>
            <w:tcW w:w="0" w:type="auto"/>
          </w:tcPr>
          <w:p w14:paraId="49638956" w14:textId="77777777" w:rsidR="00226C2E" w:rsidRDefault="00000000">
            <w:pPr>
              <w:pStyle w:val="Compact"/>
              <w:jc w:val="left"/>
            </w:pPr>
            <w:r>
              <w:t>AUHC - Advancing Universal Health Coverage Activity</w:t>
            </w:r>
          </w:p>
        </w:tc>
        <w:tc>
          <w:tcPr>
            <w:tcW w:w="0" w:type="auto"/>
          </w:tcPr>
          <w:p w14:paraId="0A988994" w14:textId="77777777" w:rsidR="00226C2E" w:rsidRDefault="00000000">
            <w:pPr>
              <w:pStyle w:val="Compact"/>
              <w:jc w:val="left"/>
            </w:pPr>
            <w:r>
              <w:t>12/31/2023</w:t>
            </w:r>
          </w:p>
        </w:tc>
        <w:tc>
          <w:tcPr>
            <w:tcW w:w="0" w:type="auto"/>
          </w:tcPr>
          <w:p w14:paraId="18E2A45F" w14:textId="77777777" w:rsidR="00226C2E" w:rsidRDefault="00000000">
            <w:pPr>
              <w:pStyle w:val="Compact"/>
              <w:jc w:val="left"/>
            </w:pPr>
            <w:r>
              <w:t>Population, Health, Nutrition and Education</w:t>
            </w:r>
          </w:p>
        </w:tc>
        <w:tc>
          <w:tcPr>
            <w:tcW w:w="0" w:type="auto"/>
          </w:tcPr>
          <w:p w14:paraId="49C88D6E" w14:textId="77777777" w:rsidR="00226C2E" w:rsidRDefault="00000000">
            <w:pPr>
              <w:pStyle w:val="Compact"/>
              <w:jc w:val="left"/>
            </w:pPr>
            <w:r>
              <w:t>HL.9-3; HL.9-1</w:t>
            </w:r>
          </w:p>
        </w:tc>
        <w:tc>
          <w:tcPr>
            <w:tcW w:w="0" w:type="auto"/>
          </w:tcPr>
          <w:p w14:paraId="2DE6824A" w14:textId="77777777" w:rsidR="00226C2E" w:rsidRDefault="00000000">
            <w:pPr>
              <w:pStyle w:val="Compact"/>
              <w:jc w:val="left"/>
            </w:pPr>
            <w:r>
              <w:t>$83,704,694</w:t>
            </w:r>
          </w:p>
        </w:tc>
      </w:tr>
      <w:tr w:rsidR="00226C2E" w14:paraId="15731EE2" w14:textId="77777777" w:rsidTr="00F52FC2">
        <w:trPr>
          <w:trHeight w:val="691"/>
        </w:trPr>
        <w:tc>
          <w:tcPr>
            <w:tcW w:w="0" w:type="auto"/>
          </w:tcPr>
          <w:p w14:paraId="334BF117" w14:textId="77777777" w:rsidR="00226C2E" w:rsidRDefault="00000000">
            <w:pPr>
              <w:pStyle w:val="Compact"/>
              <w:jc w:val="left"/>
            </w:pPr>
            <w:r>
              <w:t>107861: FTF Bangladesh Agricultural Policy Activity (Policy LINK)</w:t>
            </w:r>
          </w:p>
        </w:tc>
        <w:tc>
          <w:tcPr>
            <w:tcW w:w="0" w:type="auto"/>
          </w:tcPr>
          <w:p w14:paraId="036CDBE5" w14:textId="77777777" w:rsidR="00226C2E" w:rsidRDefault="00000000">
            <w:pPr>
              <w:pStyle w:val="Compact"/>
              <w:jc w:val="left"/>
            </w:pPr>
            <w:r>
              <w:t>9/2/2025</w:t>
            </w:r>
          </w:p>
        </w:tc>
        <w:tc>
          <w:tcPr>
            <w:tcW w:w="0" w:type="auto"/>
          </w:tcPr>
          <w:p w14:paraId="023CA02F" w14:textId="77777777" w:rsidR="00226C2E" w:rsidRDefault="00000000">
            <w:pPr>
              <w:pStyle w:val="Compact"/>
              <w:jc w:val="left"/>
            </w:pPr>
            <w:r>
              <w:t>None</w:t>
            </w:r>
          </w:p>
        </w:tc>
        <w:tc>
          <w:tcPr>
            <w:tcW w:w="0" w:type="auto"/>
          </w:tcPr>
          <w:p w14:paraId="6AD9E331" w14:textId="77777777" w:rsidR="00226C2E" w:rsidRDefault="00000000">
            <w:pPr>
              <w:pStyle w:val="Compact"/>
              <w:jc w:val="left"/>
            </w:pPr>
            <w:r>
              <w:t>EG.3.1-d</w:t>
            </w:r>
          </w:p>
        </w:tc>
        <w:tc>
          <w:tcPr>
            <w:tcW w:w="0" w:type="auto"/>
          </w:tcPr>
          <w:p w14:paraId="43EDD0E1" w14:textId="77777777" w:rsidR="00226C2E" w:rsidRDefault="00000000">
            <w:pPr>
              <w:pStyle w:val="Compact"/>
              <w:jc w:val="left"/>
            </w:pPr>
            <w:r>
              <w:t>$77,500,000</w:t>
            </w:r>
          </w:p>
        </w:tc>
      </w:tr>
      <w:tr w:rsidR="00226C2E" w14:paraId="659EDA57" w14:textId="77777777" w:rsidTr="00F52FC2">
        <w:trPr>
          <w:trHeight w:val="1053"/>
        </w:trPr>
        <w:tc>
          <w:tcPr>
            <w:tcW w:w="0" w:type="auto"/>
          </w:tcPr>
          <w:p w14:paraId="7C748117" w14:textId="77777777" w:rsidR="00226C2E" w:rsidRDefault="00000000">
            <w:pPr>
              <w:pStyle w:val="Compact"/>
              <w:jc w:val="left"/>
            </w:pPr>
            <w:r>
              <w:t>MaMoni MNCSP -Mamoni Maternal and Newborn Care Strengthening activity</w:t>
            </w:r>
          </w:p>
        </w:tc>
        <w:tc>
          <w:tcPr>
            <w:tcW w:w="0" w:type="auto"/>
          </w:tcPr>
          <w:p w14:paraId="1C894A04" w14:textId="77777777" w:rsidR="00226C2E" w:rsidRDefault="00000000">
            <w:pPr>
              <w:pStyle w:val="Compact"/>
              <w:jc w:val="left"/>
            </w:pPr>
            <w:r>
              <w:t>4/25/2023</w:t>
            </w:r>
          </w:p>
        </w:tc>
        <w:tc>
          <w:tcPr>
            <w:tcW w:w="0" w:type="auto"/>
          </w:tcPr>
          <w:p w14:paraId="59E93C44" w14:textId="77777777" w:rsidR="00226C2E" w:rsidRDefault="00000000">
            <w:pPr>
              <w:pStyle w:val="Compact"/>
              <w:jc w:val="left"/>
            </w:pPr>
            <w:r>
              <w:t>Population, Health, Nutrition and Education</w:t>
            </w:r>
          </w:p>
        </w:tc>
        <w:tc>
          <w:tcPr>
            <w:tcW w:w="0" w:type="auto"/>
          </w:tcPr>
          <w:p w14:paraId="63B9DB1C" w14:textId="77777777" w:rsidR="00226C2E" w:rsidRDefault="00000000">
            <w:pPr>
              <w:pStyle w:val="Compact"/>
              <w:jc w:val="left"/>
            </w:pPr>
            <w:r>
              <w:t>HL.9-4; HL.9-3</w:t>
            </w:r>
          </w:p>
        </w:tc>
        <w:tc>
          <w:tcPr>
            <w:tcW w:w="0" w:type="auto"/>
          </w:tcPr>
          <w:p w14:paraId="6C17BC47" w14:textId="77777777" w:rsidR="00226C2E" w:rsidRDefault="00000000">
            <w:pPr>
              <w:pStyle w:val="Compact"/>
              <w:jc w:val="left"/>
            </w:pPr>
            <w:r>
              <w:t>$71,270,031</w:t>
            </w:r>
          </w:p>
        </w:tc>
      </w:tr>
      <w:tr w:rsidR="00226C2E" w14:paraId="3D324166" w14:textId="77777777" w:rsidTr="00F52FC2">
        <w:trPr>
          <w:trHeight w:val="486"/>
        </w:trPr>
        <w:tc>
          <w:tcPr>
            <w:tcW w:w="0" w:type="auto"/>
          </w:tcPr>
          <w:p w14:paraId="1A2B20D6" w14:textId="77777777" w:rsidR="00226C2E" w:rsidRDefault="00000000">
            <w:pPr>
              <w:pStyle w:val="Compact"/>
              <w:jc w:val="left"/>
            </w:pPr>
            <w:r>
              <w:t>FTF Bangladesh Nutrition Activity</w:t>
            </w:r>
          </w:p>
        </w:tc>
        <w:tc>
          <w:tcPr>
            <w:tcW w:w="0" w:type="auto"/>
          </w:tcPr>
          <w:p w14:paraId="0397746F" w14:textId="77777777" w:rsidR="00226C2E" w:rsidRDefault="00000000">
            <w:pPr>
              <w:pStyle w:val="Compact"/>
              <w:jc w:val="left"/>
            </w:pPr>
            <w:r>
              <w:t>9/30/2028</w:t>
            </w:r>
          </w:p>
        </w:tc>
        <w:tc>
          <w:tcPr>
            <w:tcW w:w="0" w:type="auto"/>
          </w:tcPr>
          <w:p w14:paraId="645A6CC3" w14:textId="77777777" w:rsidR="00226C2E" w:rsidRDefault="00000000">
            <w:pPr>
              <w:pStyle w:val="Compact"/>
              <w:jc w:val="left"/>
            </w:pPr>
            <w:r>
              <w:t>Economic Growth</w:t>
            </w:r>
          </w:p>
        </w:tc>
        <w:tc>
          <w:tcPr>
            <w:tcW w:w="0" w:type="auto"/>
          </w:tcPr>
          <w:p w14:paraId="7C0B55A5" w14:textId="77777777" w:rsidR="00226C2E" w:rsidRDefault="00000000">
            <w:pPr>
              <w:pStyle w:val="Compact"/>
              <w:jc w:val="left"/>
            </w:pPr>
            <w:r>
              <w:t>HL.8.2-2; HL.8.2-5; EG.3-2; EG.3.3-10</w:t>
            </w:r>
          </w:p>
        </w:tc>
        <w:tc>
          <w:tcPr>
            <w:tcW w:w="0" w:type="auto"/>
          </w:tcPr>
          <w:p w14:paraId="59E18EDB" w14:textId="77777777" w:rsidR="00226C2E" w:rsidRDefault="00000000">
            <w:pPr>
              <w:pStyle w:val="Compact"/>
              <w:jc w:val="left"/>
            </w:pPr>
            <w:r>
              <w:t>$58,068,727</w:t>
            </w:r>
          </w:p>
        </w:tc>
      </w:tr>
      <w:tr w:rsidR="00226C2E" w14:paraId="3CDF2B14" w14:textId="77777777" w:rsidTr="00F52FC2">
        <w:trPr>
          <w:trHeight w:val="910"/>
        </w:trPr>
        <w:tc>
          <w:tcPr>
            <w:tcW w:w="0" w:type="auto"/>
          </w:tcPr>
          <w:p w14:paraId="4C03B7BA" w14:textId="77777777" w:rsidR="00226C2E" w:rsidRDefault="00000000">
            <w:pPr>
              <w:pStyle w:val="Compact"/>
              <w:jc w:val="left"/>
            </w:pPr>
            <w:r>
              <w:t>MISHD - Marketing Innovations for Sustainable Health Development</w:t>
            </w:r>
          </w:p>
        </w:tc>
        <w:tc>
          <w:tcPr>
            <w:tcW w:w="0" w:type="auto"/>
          </w:tcPr>
          <w:p w14:paraId="45AC33F6" w14:textId="77777777" w:rsidR="00226C2E" w:rsidRDefault="00000000">
            <w:pPr>
              <w:pStyle w:val="Compact"/>
              <w:jc w:val="left"/>
            </w:pPr>
            <w:r>
              <w:t>10/16/2022</w:t>
            </w:r>
          </w:p>
        </w:tc>
        <w:tc>
          <w:tcPr>
            <w:tcW w:w="0" w:type="auto"/>
          </w:tcPr>
          <w:p w14:paraId="7A523297" w14:textId="77777777" w:rsidR="00226C2E" w:rsidRDefault="00000000">
            <w:pPr>
              <w:pStyle w:val="Compact"/>
              <w:jc w:val="left"/>
            </w:pPr>
            <w:r>
              <w:t>Population, Health, Nutrition and Education</w:t>
            </w:r>
          </w:p>
        </w:tc>
        <w:tc>
          <w:tcPr>
            <w:tcW w:w="0" w:type="auto"/>
          </w:tcPr>
          <w:p w14:paraId="3E6BBCF9" w14:textId="77777777" w:rsidR="00226C2E" w:rsidRDefault="00000000">
            <w:pPr>
              <w:pStyle w:val="Compact"/>
              <w:jc w:val="left"/>
            </w:pPr>
            <w:r>
              <w:t>HL.9-1; HL.9-4</w:t>
            </w:r>
          </w:p>
        </w:tc>
        <w:tc>
          <w:tcPr>
            <w:tcW w:w="0" w:type="auto"/>
          </w:tcPr>
          <w:p w14:paraId="463D6882" w14:textId="77777777" w:rsidR="00226C2E" w:rsidRDefault="00000000">
            <w:pPr>
              <w:pStyle w:val="Compact"/>
              <w:jc w:val="left"/>
            </w:pPr>
            <w:r>
              <w:t>$29,000,000</w:t>
            </w:r>
          </w:p>
        </w:tc>
      </w:tr>
      <w:tr w:rsidR="00226C2E" w14:paraId="6181558C" w14:textId="77777777" w:rsidTr="00F52FC2">
        <w:trPr>
          <w:trHeight w:val="1115"/>
        </w:trPr>
        <w:tc>
          <w:tcPr>
            <w:tcW w:w="0" w:type="auto"/>
          </w:tcPr>
          <w:p w14:paraId="58846EAA" w14:textId="77777777" w:rsidR="00226C2E" w:rsidRDefault="00000000">
            <w:pPr>
              <w:pStyle w:val="Compact"/>
              <w:jc w:val="left"/>
            </w:pPr>
            <w:r>
              <w:t>FTF Bangladesh Aquaculture Activity</w:t>
            </w:r>
          </w:p>
        </w:tc>
        <w:tc>
          <w:tcPr>
            <w:tcW w:w="0" w:type="auto"/>
          </w:tcPr>
          <w:p w14:paraId="6B9645C6" w14:textId="77777777" w:rsidR="00226C2E" w:rsidRDefault="00000000">
            <w:pPr>
              <w:pStyle w:val="Compact"/>
              <w:jc w:val="left"/>
            </w:pPr>
            <w:r>
              <w:t>2/5/2023</w:t>
            </w:r>
          </w:p>
        </w:tc>
        <w:tc>
          <w:tcPr>
            <w:tcW w:w="0" w:type="auto"/>
          </w:tcPr>
          <w:p w14:paraId="7EFFAAD9" w14:textId="77777777" w:rsidR="00226C2E" w:rsidRDefault="00000000">
            <w:pPr>
              <w:pStyle w:val="Compact"/>
              <w:jc w:val="left"/>
            </w:pPr>
            <w:r>
              <w:t>Economic Growth</w:t>
            </w:r>
          </w:p>
        </w:tc>
        <w:tc>
          <w:tcPr>
            <w:tcW w:w="0" w:type="auto"/>
          </w:tcPr>
          <w:p w14:paraId="314A32A8" w14:textId="77777777" w:rsidR="00226C2E" w:rsidRDefault="00000000">
            <w:pPr>
              <w:pStyle w:val="Compact"/>
              <w:jc w:val="left"/>
            </w:pPr>
            <w:r>
              <w:t>EG.3.2-26; EG.3-2; EG.3.2-27; GNDR-2; EG.3.2-24; YOUTH-3; EG.3.2-25</w:t>
            </w:r>
          </w:p>
        </w:tc>
        <w:tc>
          <w:tcPr>
            <w:tcW w:w="0" w:type="auto"/>
          </w:tcPr>
          <w:p w14:paraId="06861932" w14:textId="77777777" w:rsidR="00226C2E" w:rsidRDefault="00000000">
            <w:pPr>
              <w:pStyle w:val="Compact"/>
              <w:jc w:val="left"/>
            </w:pPr>
            <w:r>
              <w:t>$28,458,192</w:t>
            </w:r>
          </w:p>
        </w:tc>
      </w:tr>
      <w:tr w:rsidR="00226C2E" w14:paraId="3973F70A" w14:textId="77777777" w:rsidTr="00F52FC2">
        <w:trPr>
          <w:trHeight w:val="691"/>
        </w:trPr>
        <w:tc>
          <w:tcPr>
            <w:tcW w:w="0" w:type="auto"/>
          </w:tcPr>
          <w:p w14:paraId="39BBD984" w14:textId="77777777" w:rsidR="00226C2E" w:rsidRDefault="00000000">
            <w:pPr>
              <w:pStyle w:val="Compact"/>
              <w:jc w:val="left"/>
            </w:pPr>
            <w:r>
              <w:t>Feed the Future Bangladesh Livestock and Nutrition Activity</w:t>
            </w:r>
          </w:p>
        </w:tc>
        <w:tc>
          <w:tcPr>
            <w:tcW w:w="0" w:type="auto"/>
          </w:tcPr>
          <w:p w14:paraId="769467E1" w14:textId="77777777" w:rsidR="00226C2E" w:rsidRDefault="00000000">
            <w:pPr>
              <w:pStyle w:val="Compact"/>
              <w:jc w:val="left"/>
            </w:pPr>
            <w:r>
              <w:t>9/14/2026</w:t>
            </w:r>
          </w:p>
        </w:tc>
        <w:tc>
          <w:tcPr>
            <w:tcW w:w="0" w:type="auto"/>
          </w:tcPr>
          <w:p w14:paraId="36621528" w14:textId="77777777" w:rsidR="00226C2E" w:rsidRDefault="00000000">
            <w:pPr>
              <w:pStyle w:val="Compact"/>
              <w:jc w:val="left"/>
            </w:pPr>
            <w:r>
              <w:t>Economic Growth</w:t>
            </w:r>
          </w:p>
        </w:tc>
        <w:tc>
          <w:tcPr>
            <w:tcW w:w="0" w:type="auto"/>
          </w:tcPr>
          <w:p w14:paraId="6BD26117" w14:textId="77777777" w:rsidR="00226C2E" w:rsidRDefault="00000000">
            <w:pPr>
              <w:pStyle w:val="Compact"/>
              <w:jc w:val="left"/>
            </w:pPr>
            <w:r>
              <w:t>EG.3.2-27; EG.3-2; EG.3.2-24; GNDR-2; EG.3.2-26</w:t>
            </w:r>
          </w:p>
        </w:tc>
        <w:tc>
          <w:tcPr>
            <w:tcW w:w="0" w:type="auto"/>
          </w:tcPr>
          <w:p w14:paraId="00E3AD17" w14:textId="0B6CAEC3" w:rsidR="00226C2E" w:rsidRDefault="00000000">
            <w:pPr>
              <w:pStyle w:val="Compact"/>
              <w:jc w:val="left"/>
            </w:pPr>
            <w:r>
              <w:t>$20,500</w:t>
            </w:r>
            <w:r w:rsidR="00F52FC2">
              <w:t>,</w:t>
            </w:r>
            <w:r>
              <w:t>000</w:t>
            </w:r>
          </w:p>
        </w:tc>
      </w:tr>
      <w:tr w:rsidR="00226C2E" w14:paraId="1D8FA271" w14:textId="77777777" w:rsidTr="00F52FC2">
        <w:trPr>
          <w:trHeight w:val="269"/>
        </w:trPr>
        <w:tc>
          <w:tcPr>
            <w:tcW w:w="0" w:type="auto"/>
          </w:tcPr>
          <w:p w14:paraId="30D91081" w14:textId="4B202496" w:rsidR="00226C2E" w:rsidRDefault="00226C2E">
            <w:pPr>
              <w:pStyle w:val="Compact"/>
              <w:jc w:val="left"/>
            </w:pPr>
          </w:p>
        </w:tc>
        <w:tc>
          <w:tcPr>
            <w:tcW w:w="0" w:type="auto"/>
          </w:tcPr>
          <w:p w14:paraId="125AE9F3" w14:textId="1A7D11CA" w:rsidR="00226C2E" w:rsidRDefault="00226C2E">
            <w:pPr>
              <w:pStyle w:val="Compact"/>
              <w:jc w:val="left"/>
            </w:pPr>
          </w:p>
        </w:tc>
        <w:tc>
          <w:tcPr>
            <w:tcW w:w="0" w:type="auto"/>
          </w:tcPr>
          <w:p w14:paraId="44CDD4E3" w14:textId="1B760A7D" w:rsidR="00226C2E" w:rsidRDefault="00226C2E">
            <w:pPr>
              <w:pStyle w:val="Compact"/>
              <w:jc w:val="left"/>
            </w:pPr>
          </w:p>
        </w:tc>
        <w:tc>
          <w:tcPr>
            <w:tcW w:w="0" w:type="auto"/>
          </w:tcPr>
          <w:p w14:paraId="276CD87D" w14:textId="6F57EEEE" w:rsidR="00226C2E" w:rsidRDefault="00226C2E">
            <w:pPr>
              <w:pStyle w:val="Compact"/>
              <w:jc w:val="left"/>
            </w:pPr>
          </w:p>
        </w:tc>
        <w:tc>
          <w:tcPr>
            <w:tcW w:w="0" w:type="auto"/>
          </w:tcPr>
          <w:p w14:paraId="15BA0CF4" w14:textId="7C5BF877" w:rsidR="00226C2E" w:rsidRDefault="00226C2E">
            <w:pPr>
              <w:pStyle w:val="Compact"/>
              <w:jc w:val="left"/>
            </w:pPr>
          </w:p>
        </w:tc>
      </w:tr>
      <w:tr w:rsidR="00226C2E" w14:paraId="2E51B9DB" w14:textId="77777777" w:rsidTr="00F52FC2">
        <w:trPr>
          <w:trHeight w:val="269"/>
        </w:trPr>
        <w:tc>
          <w:tcPr>
            <w:tcW w:w="0" w:type="auto"/>
          </w:tcPr>
          <w:p w14:paraId="2A578C90" w14:textId="4EAA2044" w:rsidR="00226C2E" w:rsidRDefault="00226C2E">
            <w:pPr>
              <w:pStyle w:val="Compact"/>
              <w:jc w:val="left"/>
            </w:pPr>
          </w:p>
        </w:tc>
        <w:tc>
          <w:tcPr>
            <w:tcW w:w="0" w:type="auto"/>
          </w:tcPr>
          <w:p w14:paraId="7BB83D09" w14:textId="3DA06E09" w:rsidR="00226C2E" w:rsidRDefault="00226C2E">
            <w:pPr>
              <w:pStyle w:val="Compact"/>
              <w:jc w:val="left"/>
            </w:pPr>
          </w:p>
        </w:tc>
        <w:tc>
          <w:tcPr>
            <w:tcW w:w="0" w:type="auto"/>
          </w:tcPr>
          <w:p w14:paraId="660A8278" w14:textId="37A48573" w:rsidR="00226C2E" w:rsidRDefault="00226C2E">
            <w:pPr>
              <w:pStyle w:val="Compact"/>
              <w:jc w:val="left"/>
            </w:pPr>
          </w:p>
        </w:tc>
        <w:tc>
          <w:tcPr>
            <w:tcW w:w="0" w:type="auto"/>
          </w:tcPr>
          <w:p w14:paraId="3C3C2DB4" w14:textId="467CAA78" w:rsidR="00226C2E" w:rsidRDefault="00226C2E">
            <w:pPr>
              <w:pStyle w:val="Compact"/>
              <w:jc w:val="left"/>
            </w:pPr>
          </w:p>
        </w:tc>
        <w:tc>
          <w:tcPr>
            <w:tcW w:w="0" w:type="auto"/>
          </w:tcPr>
          <w:p w14:paraId="6BB232BF" w14:textId="2B285CCB" w:rsidR="00226C2E" w:rsidRDefault="00226C2E">
            <w:pPr>
              <w:pStyle w:val="Compact"/>
              <w:jc w:val="left"/>
            </w:pPr>
          </w:p>
        </w:tc>
      </w:tr>
      <w:tr w:rsidR="00226C2E" w14:paraId="74B4745A" w14:textId="77777777" w:rsidTr="00F52FC2">
        <w:trPr>
          <w:trHeight w:val="269"/>
        </w:trPr>
        <w:tc>
          <w:tcPr>
            <w:tcW w:w="0" w:type="auto"/>
          </w:tcPr>
          <w:p w14:paraId="1053D2C4" w14:textId="43402702" w:rsidR="00226C2E" w:rsidRDefault="00226C2E">
            <w:pPr>
              <w:pStyle w:val="Compact"/>
              <w:jc w:val="left"/>
            </w:pPr>
          </w:p>
        </w:tc>
        <w:tc>
          <w:tcPr>
            <w:tcW w:w="0" w:type="auto"/>
          </w:tcPr>
          <w:p w14:paraId="7AC95243" w14:textId="1329BCE4" w:rsidR="00226C2E" w:rsidRDefault="00226C2E">
            <w:pPr>
              <w:pStyle w:val="Compact"/>
              <w:jc w:val="left"/>
            </w:pPr>
          </w:p>
        </w:tc>
        <w:tc>
          <w:tcPr>
            <w:tcW w:w="0" w:type="auto"/>
          </w:tcPr>
          <w:p w14:paraId="1865C2DD" w14:textId="7C84F14B" w:rsidR="00226C2E" w:rsidRDefault="00226C2E">
            <w:pPr>
              <w:pStyle w:val="Compact"/>
              <w:jc w:val="left"/>
            </w:pPr>
          </w:p>
        </w:tc>
        <w:tc>
          <w:tcPr>
            <w:tcW w:w="0" w:type="auto"/>
          </w:tcPr>
          <w:p w14:paraId="12F148C4" w14:textId="1D37B0C3" w:rsidR="00226C2E" w:rsidRDefault="00226C2E">
            <w:pPr>
              <w:pStyle w:val="Compact"/>
              <w:jc w:val="left"/>
            </w:pPr>
          </w:p>
        </w:tc>
        <w:tc>
          <w:tcPr>
            <w:tcW w:w="0" w:type="auto"/>
          </w:tcPr>
          <w:p w14:paraId="4D814EAF" w14:textId="6FA4B81A" w:rsidR="00226C2E" w:rsidRDefault="00226C2E">
            <w:pPr>
              <w:pStyle w:val="Compact"/>
              <w:jc w:val="left"/>
            </w:pPr>
          </w:p>
        </w:tc>
      </w:tr>
      <w:tr w:rsidR="00226C2E" w14:paraId="14FF0A27" w14:textId="77777777" w:rsidTr="00F52FC2">
        <w:trPr>
          <w:trHeight w:val="269"/>
        </w:trPr>
        <w:tc>
          <w:tcPr>
            <w:tcW w:w="0" w:type="auto"/>
          </w:tcPr>
          <w:p w14:paraId="49E0864C" w14:textId="5C44E755" w:rsidR="00226C2E" w:rsidRDefault="00226C2E">
            <w:pPr>
              <w:pStyle w:val="Compact"/>
              <w:jc w:val="left"/>
            </w:pPr>
          </w:p>
        </w:tc>
        <w:tc>
          <w:tcPr>
            <w:tcW w:w="0" w:type="auto"/>
          </w:tcPr>
          <w:p w14:paraId="458CF723" w14:textId="75D73624" w:rsidR="00226C2E" w:rsidRDefault="00226C2E">
            <w:pPr>
              <w:pStyle w:val="Compact"/>
              <w:jc w:val="left"/>
            </w:pPr>
          </w:p>
        </w:tc>
        <w:tc>
          <w:tcPr>
            <w:tcW w:w="0" w:type="auto"/>
          </w:tcPr>
          <w:p w14:paraId="4BF1D846" w14:textId="3CA73634" w:rsidR="00226C2E" w:rsidRDefault="00226C2E">
            <w:pPr>
              <w:pStyle w:val="Compact"/>
              <w:jc w:val="left"/>
            </w:pPr>
          </w:p>
        </w:tc>
        <w:tc>
          <w:tcPr>
            <w:tcW w:w="0" w:type="auto"/>
          </w:tcPr>
          <w:p w14:paraId="1802D81D" w14:textId="248926EE" w:rsidR="00226C2E" w:rsidRDefault="00226C2E">
            <w:pPr>
              <w:pStyle w:val="Compact"/>
              <w:jc w:val="left"/>
            </w:pPr>
          </w:p>
        </w:tc>
        <w:tc>
          <w:tcPr>
            <w:tcW w:w="0" w:type="auto"/>
          </w:tcPr>
          <w:p w14:paraId="40298C7A" w14:textId="0F2549B4" w:rsidR="00226C2E" w:rsidRDefault="00226C2E">
            <w:pPr>
              <w:pStyle w:val="Compact"/>
              <w:jc w:val="left"/>
            </w:pPr>
          </w:p>
        </w:tc>
      </w:tr>
      <w:tr w:rsidR="00226C2E" w14:paraId="0B8322D6" w14:textId="77777777" w:rsidTr="00F52FC2">
        <w:trPr>
          <w:trHeight w:val="269"/>
        </w:trPr>
        <w:tc>
          <w:tcPr>
            <w:tcW w:w="0" w:type="auto"/>
          </w:tcPr>
          <w:p w14:paraId="173527E1" w14:textId="0ADB114D" w:rsidR="00226C2E" w:rsidRDefault="00226C2E">
            <w:pPr>
              <w:pStyle w:val="Compact"/>
              <w:jc w:val="left"/>
            </w:pPr>
          </w:p>
        </w:tc>
        <w:tc>
          <w:tcPr>
            <w:tcW w:w="0" w:type="auto"/>
          </w:tcPr>
          <w:p w14:paraId="6D478E92" w14:textId="643CC83F" w:rsidR="00226C2E" w:rsidRDefault="00226C2E">
            <w:pPr>
              <w:pStyle w:val="Compact"/>
              <w:jc w:val="left"/>
            </w:pPr>
          </w:p>
        </w:tc>
        <w:tc>
          <w:tcPr>
            <w:tcW w:w="0" w:type="auto"/>
          </w:tcPr>
          <w:p w14:paraId="6D355AD7" w14:textId="30CA8428" w:rsidR="00226C2E" w:rsidRDefault="00226C2E">
            <w:pPr>
              <w:pStyle w:val="Compact"/>
              <w:jc w:val="left"/>
            </w:pPr>
          </w:p>
        </w:tc>
        <w:tc>
          <w:tcPr>
            <w:tcW w:w="0" w:type="auto"/>
          </w:tcPr>
          <w:p w14:paraId="32EAE836" w14:textId="6995BEED" w:rsidR="00226C2E" w:rsidRDefault="00226C2E">
            <w:pPr>
              <w:pStyle w:val="Compact"/>
              <w:jc w:val="left"/>
            </w:pPr>
          </w:p>
        </w:tc>
        <w:tc>
          <w:tcPr>
            <w:tcW w:w="0" w:type="auto"/>
          </w:tcPr>
          <w:p w14:paraId="78DB2E10" w14:textId="5A6B8337" w:rsidR="00226C2E" w:rsidRDefault="00226C2E">
            <w:pPr>
              <w:pStyle w:val="Compact"/>
              <w:jc w:val="left"/>
            </w:pPr>
          </w:p>
        </w:tc>
      </w:tr>
      <w:tr w:rsidR="00226C2E" w14:paraId="2E2DF820" w14:textId="77777777" w:rsidTr="00F52FC2">
        <w:trPr>
          <w:trHeight w:val="269"/>
        </w:trPr>
        <w:tc>
          <w:tcPr>
            <w:tcW w:w="0" w:type="auto"/>
          </w:tcPr>
          <w:p w14:paraId="2A8D1EF6" w14:textId="64BF1133" w:rsidR="00226C2E" w:rsidRDefault="00226C2E">
            <w:pPr>
              <w:pStyle w:val="Compact"/>
              <w:jc w:val="left"/>
            </w:pPr>
          </w:p>
        </w:tc>
        <w:tc>
          <w:tcPr>
            <w:tcW w:w="0" w:type="auto"/>
          </w:tcPr>
          <w:p w14:paraId="02E998B7" w14:textId="549EA224" w:rsidR="00226C2E" w:rsidRDefault="00226C2E">
            <w:pPr>
              <w:pStyle w:val="Compact"/>
              <w:jc w:val="left"/>
            </w:pPr>
          </w:p>
        </w:tc>
        <w:tc>
          <w:tcPr>
            <w:tcW w:w="0" w:type="auto"/>
          </w:tcPr>
          <w:p w14:paraId="569453AF" w14:textId="4817D04B" w:rsidR="00226C2E" w:rsidRDefault="00226C2E">
            <w:pPr>
              <w:pStyle w:val="Compact"/>
              <w:jc w:val="left"/>
            </w:pPr>
          </w:p>
        </w:tc>
        <w:tc>
          <w:tcPr>
            <w:tcW w:w="0" w:type="auto"/>
          </w:tcPr>
          <w:p w14:paraId="135B4B0D" w14:textId="323F7928" w:rsidR="00226C2E" w:rsidRDefault="00226C2E">
            <w:pPr>
              <w:pStyle w:val="Compact"/>
              <w:jc w:val="left"/>
            </w:pPr>
          </w:p>
        </w:tc>
        <w:tc>
          <w:tcPr>
            <w:tcW w:w="0" w:type="auto"/>
          </w:tcPr>
          <w:p w14:paraId="305B0079" w14:textId="046BAFAF" w:rsidR="00226C2E" w:rsidRDefault="00226C2E">
            <w:pPr>
              <w:pStyle w:val="Compact"/>
              <w:jc w:val="left"/>
            </w:pPr>
          </w:p>
        </w:tc>
      </w:tr>
      <w:tr w:rsidR="00226C2E" w14:paraId="5CE99799" w14:textId="77777777" w:rsidTr="00F52FC2">
        <w:trPr>
          <w:trHeight w:val="269"/>
        </w:trPr>
        <w:tc>
          <w:tcPr>
            <w:tcW w:w="0" w:type="auto"/>
          </w:tcPr>
          <w:p w14:paraId="3494B91F" w14:textId="7227AF32" w:rsidR="00226C2E" w:rsidRDefault="00226C2E">
            <w:pPr>
              <w:pStyle w:val="Compact"/>
              <w:jc w:val="left"/>
            </w:pPr>
          </w:p>
        </w:tc>
        <w:tc>
          <w:tcPr>
            <w:tcW w:w="0" w:type="auto"/>
          </w:tcPr>
          <w:p w14:paraId="488E9767" w14:textId="33878C8C" w:rsidR="00226C2E" w:rsidRDefault="00226C2E">
            <w:pPr>
              <w:pStyle w:val="Compact"/>
              <w:jc w:val="left"/>
            </w:pPr>
          </w:p>
        </w:tc>
        <w:tc>
          <w:tcPr>
            <w:tcW w:w="0" w:type="auto"/>
          </w:tcPr>
          <w:p w14:paraId="21532CA7" w14:textId="535D0B4E" w:rsidR="00226C2E" w:rsidRDefault="00226C2E">
            <w:pPr>
              <w:pStyle w:val="Compact"/>
              <w:jc w:val="left"/>
            </w:pPr>
          </w:p>
        </w:tc>
        <w:tc>
          <w:tcPr>
            <w:tcW w:w="0" w:type="auto"/>
          </w:tcPr>
          <w:p w14:paraId="0EE4BB2B" w14:textId="554501A5" w:rsidR="00226C2E" w:rsidRDefault="00226C2E">
            <w:pPr>
              <w:pStyle w:val="Compact"/>
              <w:jc w:val="left"/>
            </w:pPr>
          </w:p>
        </w:tc>
        <w:tc>
          <w:tcPr>
            <w:tcW w:w="0" w:type="auto"/>
          </w:tcPr>
          <w:p w14:paraId="77ED1272" w14:textId="1103AE5E" w:rsidR="00226C2E" w:rsidRDefault="00226C2E">
            <w:pPr>
              <w:pStyle w:val="Compact"/>
              <w:jc w:val="left"/>
            </w:pPr>
          </w:p>
        </w:tc>
      </w:tr>
    </w:tbl>
    <w:p w14:paraId="0869AFE9" w14:textId="14D86FE4" w:rsidR="00226C2E" w:rsidRDefault="00F52FC2" w:rsidP="00F52FC2">
      <w:pPr>
        <w:pStyle w:val="Heading3"/>
        <w:jc w:val="left"/>
      </w:pPr>
      <w:bookmarkStart w:id="12" w:name="geographic-reach"/>
      <w:r>
        <w:rPr>
          <w:noProof/>
        </w:rPr>
        <w:lastRenderedPageBreak/>
        <w:drawing>
          <wp:inline distT="0" distB="0" distL="0" distR="0" wp14:anchorId="311F86C6" wp14:editId="78B7FDDA">
            <wp:extent cx="5705548" cy="7899991"/>
            <wp:effectExtent l="0" t="0" r="0" b="0"/>
            <wp:docPr id="17929933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16135" cy="7914650"/>
                    </a:xfrm>
                    <a:prstGeom prst="rect">
                      <a:avLst/>
                    </a:prstGeom>
                    <a:noFill/>
                    <a:ln>
                      <a:noFill/>
                    </a:ln>
                  </pic:spPr>
                </pic:pic>
              </a:graphicData>
            </a:graphic>
          </wp:inline>
        </w:drawing>
      </w:r>
    </w:p>
    <w:p w14:paraId="598E43A0" w14:textId="77777777" w:rsidR="00226C2E" w:rsidRDefault="00226C2E">
      <w:pPr>
        <w:pStyle w:val="FirstParagraph"/>
      </w:pPr>
    </w:p>
    <w:p w14:paraId="41C543FE" w14:textId="77777777" w:rsidR="00226C2E" w:rsidRDefault="00000000">
      <w:pPr>
        <w:pStyle w:val="Heading3"/>
      </w:pPr>
      <w:bookmarkStart w:id="13" w:name="Xb30b0a2ea5ca78918e7461d4cc5e297a3b0add2"/>
      <w:bookmarkEnd w:id="12"/>
      <w:r>
        <w:lastRenderedPageBreak/>
        <w:t>Appendix 1: Key Issue Narrative Section 4 Excerpts</w:t>
      </w:r>
    </w:p>
    <w:p w14:paraId="47CE2C35" w14:textId="77777777" w:rsidR="00226C2E" w:rsidRDefault="00000000">
      <w:pPr>
        <w:pStyle w:val="FirstParagraph"/>
      </w:pPr>
      <w:r>
        <w:t xml:space="preserve">The USAID USAID Bangladesh (BANGLADESH) Key Issue Narrative includes the following explanations for their performance against IM-level FY 2024 targets, which were set prior to the establishment of the Performance Targets. For </w:t>
      </w:r>
      <w:r>
        <w:rPr>
          <w:b/>
          <w:bCs/>
        </w:rPr>
        <w:t>Not on Track</w:t>
      </w:r>
      <w:r>
        <w:t xml:space="preserve"> targets, Operating Units should review the narratives below and add to the explanation as applicable to explain</w:t>
      </w:r>
    </w:p>
    <w:p w14:paraId="4B82CB4A" w14:textId="77777777" w:rsidR="00226C2E" w:rsidRDefault="00000000">
      <w:pPr>
        <w:pStyle w:val="Heading2"/>
      </w:pPr>
      <w:bookmarkStart w:id="14" w:name="performance-target-1-sales"/>
      <w:bookmarkEnd w:id="11"/>
      <w:bookmarkEnd w:id="13"/>
      <w:r>
        <w:t>Performance Target 1: Sales</w:t>
      </w:r>
    </w:p>
    <w:p w14:paraId="29FF3F07" w14:textId="77777777" w:rsidR="003C09FE" w:rsidRDefault="003C09FE" w:rsidP="003C09FE">
      <w:pPr>
        <w:pStyle w:val="FirstParagraph"/>
      </w:pPr>
      <w:bookmarkStart w:id="15" w:name="Xbeab7c747cde56e796f6bf13e5a1c67d0b83889"/>
      <w:bookmarkEnd w:id="14"/>
      <w:r w:rsidRPr="003C09FE">
        <w:t>Narrative is not needed for 'On track' Performance Targets.</w:t>
      </w:r>
    </w:p>
    <w:p w14:paraId="4ECEC098" w14:textId="77777777" w:rsidR="00226C2E" w:rsidRDefault="00000000">
      <w:pPr>
        <w:pStyle w:val="Heading2"/>
      </w:pPr>
      <w:r>
        <w:t>Performance Target 2: Gender financing ratio</w:t>
      </w:r>
    </w:p>
    <w:p w14:paraId="537E2932" w14:textId="77777777" w:rsidR="003C09FE" w:rsidRDefault="003C09FE" w:rsidP="003C09FE">
      <w:pPr>
        <w:pStyle w:val="FirstParagraph"/>
      </w:pPr>
      <w:bookmarkStart w:id="16" w:name="X72fcc95084ceca0f0962a323dbf5e8b4a68af6e"/>
      <w:bookmarkEnd w:id="15"/>
      <w:r w:rsidRPr="003C09FE">
        <w:t>Narrative is not needed for 'On track' Performance Targets.</w:t>
      </w:r>
    </w:p>
    <w:p w14:paraId="06657DD4" w14:textId="77777777" w:rsidR="00226C2E" w:rsidRDefault="00000000">
      <w:pPr>
        <w:pStyle w:val="Heading2"/>
      </w:pPr>
      <w:r>
        <w:t>Performance Target 3: Hectares under climate adaptation and risk mitigation management practices</w:t>
      </w:r>
    </w:p>
    <w:p w14:paraId="386FEEC5" w14:textId="77777777" w:rsidR="003C09FE" w:rsidRPr="003C09FE" w:rsidRDefault="003C09FE" w:rsidP="003C09FE">
      <w:pPr>
        <w:rPr>
          <w:rFonts w:ascii="Gill Sans MT" w:hAnsi="Gill Sans MT"/>
        </w:rPr>
      </w:pPr>
      <w:bookmarkStart w:id="17" w:name="X248a5b8c03eaab044652832dfd9d77ffb8b1dde"/>
      <w:bookmarkEnd w:id="16"/>
      <w:r w:rsidRPr="003C09FE">
        <w:rPr>
          <w:rFonts w:ascii="Gill Sans MT" w:hAnsi="Gill Sans MT"/>
        </w:rPr>
        <w:t>A total of seven projects reported FY 2023 results for this indicator, with the overall result being 47 percent higher than the target. This is primarily because of the overachievement by the Aquaculture project, the Horticulture project, and the Livestock project. The Aquaculture project, which was scheduled to end this year in February, received a time extension through November. As a result, the project was able to reach more aquaculture beneficiaries than targeted. The Horticulture project formed additional partnerships with input firms, which contributed to covering more crop lands. In addition, the Livestock project was able to cover more lands for fodder cultivation thanks to additional outreach and training for the farmers, leading to a higher area coverage. Future outyear targets will decline due to the Aquaculture project ending in 2023. The rest of the projects as well as the new CSA project have set FY 2024 and FY 2025 targets based on their annual work plans and FY 2023 implementation experience. USAID will revisit the FY 2025 targets during the FY 2024 PPR and adjust as needed based on FY 2024 results, implementation experience, and start-up time of the new activities.</w:t>
      </w:r>
    </w:p>
    <w:p w14:paraId="4CAA5271" w14:textId="77777777" w:rsidR="00226C2E" w:rsidRDefault="00000000">
      <w:pPr>
        <w:pStyle w:val="Heading2"/>
      </w:pPr>
      <w:r>
        <w:t>Performance Target 4: Private sector investment</w:t>
      </w:r>
    </w:p>
    <w:p w14:paraId="2F7E3AE4" w14:textId="77777777" w:rsidR="003C09FE" w:rsidRDefault="003C09FE">
      <w:pPr>
        <w:pStyle w:val="Heading2"/>
        <w:rPr>
          <w:rFonts w:eastAsiaTheme="minorHAnsi" w:cs="Times New Roman"/>
          <w:b w:val="0"/>
          <w:bCs w:val="0"/>
          <w:color w:val="auto"/>
          <w:sz w:val="24"/>
          <w:szCs w:val="24"/>
        </w:rPr>
      </w:pPr>
      <w:bookmarkStart w:id="18" w:name="X2954878b181d287503ea7f28e7523536e68de54"/>
      <w:bookmarkEnd w:id="17"/>
      <w:r w:rsidRPr="003C09FE">
        <w:rPr>
          <w:rFonts w:eastAsiaTheme="minorHAnsi" w:cs="Times New Roman"/>
          <w:b w:val="0"/>
          <w:bCs w:val="0"/>
          <w:color w:val="auto"/>
          <w:sz w:val="24"/>
          <w:szCs w:val="24"/>
        </w:rPr>
        <w:t>Narrative is not needed for 'On track' Performance Targets.</w:t>
      </w:r>
      <w:r w:rsidRPr="003C09FE">
        <w:rPr>
          <w:rFonts w:eastAsiaTheme="minorHAnsi" w:cs="Times New Roman"/>
          <w:b w:val="0"/>
          <w:bCs w:val="0"/>
          <w:color w:val="auto"/>
          <w:sz w:val="24"/>
          <w:szCs w:val="24"/>
        </w:rPr>
        <w:t xml:space="preserve"> </w:t>
      </w:r>
    </w:p>
    <w:p w14:paraId="7F5C81D7" w14:textId="7A808514" w:rsidR="00226C2E" w:rsidRDefault="00000000">
      <w:pPr>
        <w:pStyle w:val="Heading2"/>
      </w:pPr>
      <w:r>
        <w:t>Performance Target 5: Minimum dietary diversity for women (in the ZOI)</w:t>
      </w:r>
    </w:p>
    <w:bookmarkEnd w:id="0"/>
    <w:bookmarkEnd w:id="18"/>
    <w:p w14:paraId="1AEE19F5" w14:textId="522E4E99" w:rsidR="00226C2E" w:rsidRDefault="003C09FE" w:rsidP="003C09FE">
      <w:pPr>
        <w:pStyle w:val="FirstParagraph"/>
      </w:pPr>
      <w:r w:rsidRPr="003C09FE">
        <w:t>Narrative is not needed for 'On track' Performance Targets.</w:t>
      </w:r>
    </w:p>
    <w:sectPr w:rsidR="00226C2E" w:rsidSect="002D058B">
      <w:headerReference w:type="even" r:id="rId25"/>
      <w:headerReference w:type="default" r:id="rId26"/>
      <w:footerReference w:type="even" r:id="rId27"/>
      <w:footerReference w:type="default" r:id="rId28"/>
      <w:headerReference w:type="first" r:id="rId29"/>
      <w:footerReference w:type="first" r:id="rId30"/>
      <w:pgSz w:w="12240" w:h="15840"/>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0FF0EA" w14:textId="77777777" w:rsidR="002D058B" w:rsidRDefault="002D058B">
      <w:pPr>
        <w:spacing w:after="0"/>
      </w:pPr>
      <w:r>
        <w:separator/>
      </w:r>
    </w:p>
  </w:endnote>
  <w:endnote w:type="continuationSeparator" w:id="0">
    <w:p w14:paraId="6CAE09DA" w14:textId="77777777" w:rsidR="002D058B" w:rsidRDefault="002D058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98EEB" w14:textId="77777777" w:rsidR="00000000"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250EC" w14:textId="77777777" w:rsidR="00000000" w:rsidRDefault="00000000" w:rsidP="00890C82">
    <w:pPr>
      <w:pStyle w:val="Footer"/>
    </w:pPr>
    <w:r w:rsidRPr="00CF0E78">
      <mc:AlternateContent>
        <mc:Choice Requires="wps">
          <w:drawing>
            <wp:anchor distT="0" distB="0" distL="114300" distR="114300" simplePos="0" relativeHeight="251658239" behindDoc="0" locked="0" layoutInCell="1" allowOverlap="1" wp14:anchorId="243F5EF5" wp14:editId="2E2AA862">
              <wp:simplePos x="0" y="0"/>
              <wp:positionH relativeFrom="page">
                <wp:align>right</wp:align>
              </wp:positionH>
              <wp:positionV relativeFrom="paragraph">
                <wp:posOffset>5907</wp:posOffset>
              </wp:positionV>
              <wp:extent cx="7802245" cy="625738"/>
              <wp:effectExtent l="0" t="0" r="8255" b="3175"/>
              <wp:wrapNone/>
              <wp:docPr id="176871852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02245" cy="625738"/>
                      </a:xfrm>
                      <a:prstGeom prst="rect">
                        <a:avLst/>
                      </a:prstGeom>
                      <a:solidFill>
                        <a:srgbClr val="8C898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50F4EA" id="Rectangle 4" o:spid="_x0000_s1026" style="position:absolute;margin-left:563.15pt;margin-top:.45pt;width:614.35pt;height:49.25pt;z-index:251658239;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" fillcolor="#8c8985" stroked="f">
              <w10:wrap anchorx="page"/>
            </v:rect>
          </w:pict>
        </mc:Fallback>
      </mc:AlternateContent>
    </w:r>
    <w:r>
      <w:drawing>
        <wp:anchor distT="0" distB="0" distL="114300" distR="114300" simplePos="0" relativeHeight="251660288" behindDoc="0" locked="0" layoutInCell="1" allowOverlap="1" wp14:anchorId="358A871A" wp14:editId="1E6DBF92">
          <wp:simplePos x="0" y="0"/>
          <wp:positionH relativeFrom="column">
            <wp:posOffset>1609090</wp:posOffset>
          </wp:positionH>
          <wp:positionV relativeFrom="paragraph">
            <wp:posOffset>-5979</wp:posOffset>
          </wp:positionV>
          <wp:extent cx="3631565" cy="634365"/>
          <wp:effectExtent l="0" t="0" r="6985" b="0"/>
          <wp:wrapThrough wrapText="bothSides">
            <wp:wrapPolygon edited="0">
              <wp:start x="1473" y="0"/>
              <wp:lineTo x="340" y="4541"/>
              <wp:lineTo x="0" y="7135"/>
              <wp:lineTo x="0" y="16216"/>
              <wp:lineTo x="680" y="20108"/>
              <wp:lineTo x="1473" y="20757"/>
              <wp:lineTo x="13823" y="20757"/>
              <wp:lineTo x="21528" y="19459"/>
              <wp:lineTo x="21528" y="1946"/>
              <wp:lineTo x="2153" y="0"/>
              <wp:lineTo x="1473" y="0"/>
            </wp:wrapPolygon>
          </wp:wrapThrough>
          <wp:docPr id="789269729"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967508" name="Picture 6" descr="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3631565" cy="634365"/>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B9F9B" w14:textId="77777777" w:rsidR="00000000"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B82F72" w14:textId="77777777" w:rsidR="002D058B" w:rsidRDefault="002D058B">
      <w:r>
        <w:separator/>
      </w:r>
    </w:p>
  </w:footnote>
  <w:footnote w:type="continuationSeparator" w:id="0">
    <w:p w14:paraId="1EC01DC7" w14:textId="77777777" w:rsidR="002D058B" w:rsidRDefault="002D05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125337" w14:textId="77777777" w:rsidR="00000000" w:rsidRDefault="00000000" w:rsidP="00C159B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11FCC" w14:textId="77777777" w:rsidR="00000000" w:rsidRPr="00F839FB" w:rsidRDefault="00000000" w:rsidP="00C159BC">
    <w:pPr>
      <w:pStyle w:val="Header"/>
    </w:pPr>
    <w:r w:rsidRPr="00C159BC">
      <w:drawing>
        <wp:anchor distT="0" distB="0" distL="114300" distR="114300" simplePos="0" relativeHeight="251661312" behindDoc="1" locked="0" layoutInCell="1" allowOverlap="1" wp14:anchorId="7159B770" wp14:editId="19DF3D4C">
          <wp:simplePos x="0" y="0"/>
          <wp:positionH relativeFrom="column">
            <wp:posOffset>7458</wp:posOffset>
          </wp:positionH>
          <wp:positionV relativeFrom="paragraph">
            <wp:posOffset>-222885</wp:posOffset>
          </wp:positionV>
          <wp:extent cx="1733550" cy="510540"/>
          <wp:effectExtent l="0" t="0" r="0" b="3810"/>
          <wp:wrapNone/>
          <wp:docPr id="859012756" name="Picture 2" descr="USAID logo with USAID seal on the left and USAID statement on bottom stating &quot;From the American Peopl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AID logo with USAID seal on the left and USAID statement on bottom stating &quot;From the American People&quo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3550" cy="510540"/>
                  </a:xfrm>
                  <a:prstGeom prst="rect">
                    <a:avLst/>
                  </a:prstGeom>
                  <a:noFill/>
                  <a:ln>
                    <a:noFill/>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A0D500" w14:textId="77777777" w:rsidR="00000000" w:rsidRDefault="00000000" w:rsidP="00C159B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B7BC5D0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637762178">
    <w:abstractNumId w:val="0"/>
  </w:num>
  <w:num w:numId="2" w16cid:durableId="1548834929">
    <w:abstractNumId w:val="0"/>
  </w:num>
  <w:num w:numId="3" w16cid:durableId="14419525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6C2E"/>
    <w:rsid w:val="00226C2E"/>
    <w:rsid w:val="002D058B"/>
    <w:rsid w:val="003C09FE"/>
    <w:rsid w:val="00600B8A"/>
    <w:rsid w:val="009E37A1"/>
    <w:rsid w:val="00E52E3C"/>
    <w:rsid w:val="00F52FC2"/>
    <w:rsid w:val="00F72D5B"/>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21ED4"/>
  <w15:docId w15:val="{0D299933-1DC6-486D-B792-23DD9F4480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footer"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Heading2"/>
    <w:next w:val="BodyText"/>
    <w:uiPriority w:val="9"/>
    <w:qFormat/>
    <w:rsid w:val="00B81B1C"/>
    <w:pPr>
      <w:outlineLvl w:val="0"/>
    </w:pPr>
    <w:rPr>
      <w:color w:val="BA0C2F"/>
      <w:sz w:val="36"/>
      <w:szCs w:val="36"/>
    </w:rPr>
  </w:style>
  <w:style w:type="paragraph" w:styleId="Heading2">
    <w:name w:val="heading 2"/>
    <w:basedOn w:val="Normal"/>
    <w:next w:val="BodyText"/>
    <w:uiPriority w:val="9"/>
    <w:unhideWhenUsed/>
    <w:qFormat/>
    <w:rsid w:val="00B81B1C"/>
    <w:pPr>
      <w:keepNext/>
      <w:keepLines/>
      <w:spacing w:before="200" w:after="0"/>
      <w:jc w:val="both"/>
      <w:outlineLvl w:val="1"/>
    </w:pPr>
    <w:rPr>
      <w:rFonts w:ascii="Gill Sans MT" w:eastAsiaTheme="majorEastAsia" w:hAnsi="Gill Sans MT" w:cstheme="majorBidi"/>
      <w:b/>
      <w:bCs/>
      <w:color w:val="C00000"/>
      <w:sz w:val="32"/>
      <w:szCs w:val="32"/>
    </w:rPr>
  </w:style>
  <w:style w:type="paragraph" w:styleId="Heading3">
    <w:name w:val="heading 3"/>
    <w:basedOn w:val="Heading1"/>
    <w:next w:val="BodyText"/>
    <w:uiPriority w:val="9"/>
    <w:unhideWhenUsed/>
    <w:qFormat/>
    <w:rsid w:val="00B81B1C"/>
    <w:pPr>
      <w:pageBreakBefore/>
      <w:outlineLvl w:val="2"/>
    </w:pPr>
    <w:rPr>
      <w:sz w:val="32"/>
      <w:szCs w:val="32"/>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EE0252"/>
    <w:pPr>
      <w:spacing w:before="180" w:after="180"/>
      <w:jc w:val="both"/>
    </w:pPr>
    <w:rPr>
      <w:rFonts w:ascii="Gill Sans MT" w:hAnsi="Gill Sans MT" w:cs="Times New Roman"/>
    </w:rPr>
  </w:style>
  <w:style w:type="paragraph" w:customStyle="1" w:styleId="FirstParagraph">
    <w:name w:val="First Paragraph"/>
    <w:basedOn w:val="BodyText"/>
    <w:next w:val="BodyText"/>
    <w:qFormat/>
    <w:rsid w:val="00D15A4A"/>
  </w:style>
  <w:style w:type="paragraph" w:customStyle="1" w:styleId="Compact">
    <w:name w:val="Compact"/>
    <w:basedOn w:val="BodyText"/>
    <w:qFormat/>
    <w:pPr>
      <w:spacing w:before="36" w:after="36"/>
    </w:pPr>
  </w:style>
  <w:style w:type="paragraph" w:styleId="Title">
    <w:name w:val="Title"/>
    <w:basedOn w:val="Normal"/>
    <w:next w:val="BodyText"/>
    <w:qFormat/>
    <w:rsid w:val="00D15A4A"/>
    <w:pPr>
      <w:keepNext/>
      <w:keepLines/>
      <w:spacing w:before="480" w:after="240"/>
      <w:jc w:val="center"/>
    </w:pPr>
    <w:rPr>
      <w:rFonts w:ascii="Gill Sans MT" w:eastAsiaTheme="majorEastAsia" w:hAnsi="Gill Sans MT" w:cstheme="majorBidi"/>
      <w:b/>
      <w:bCs/>
      <w:color w:val="002060"/>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4F72B0"/>
    <w:pPr>
      <w:keepNext/>
      <w:keepLines/>
    </w:pPr>
    <w:rPr>
      <w:rFonts w:ascii="Gill Sans MT" w:hAnsi="Gill Sans MT" w:cs="Times New Roman"/>
    </w:rPr>
  </w:style>
  <w:style w:type="paragraph" w:styleId="Date">
    <w:name w:val="Date"/>
    <w:next w:val="BodyText"/>
    <w:qFormat/>
    <w:rsid w:val="004F72B0"/>
    <w:pPr>
      <w:keepNext/>
      <w:keepLines/>
    </w:pPr>
    <w:rPr>
      <w:rFonts w:ascii="Gill Sans MT" w:hAnsi="Gill Sans MT"/>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E2616B"/>
    <w:rPr>
      <w:rFonts w:ascii="Courier New" w:hAnsi="Courier New" w:cs="Courier New"/>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BodyText"/>
    <w:link w:val="VerbatimChar"/>
    <w:rsid w:val="00E2616B"/>
    <w:rPr>
      <w:rFonts w:ascii="Courier New" w:hAnsi="Courier New" w:cs="Courier New"/>
    </w:rPr>
  </w:style>
  <w:style w:type="character" w:customStyle="1" w:styleId="KeywordTok">
    <w:name w:val="KeywordTok"/>
    <w:basedOn w:val="VerbatimChar"/>
    <w:rPr>
      <w:rFonts w:ascii="Courier New" w:hAnsi="Courier New" w:cs="Courier New"/>
      <w:b/>
      <w:color w:val="204A87"/>
      <w:shd w:val="clear" w:color="auto" w:fill="F8F8F8"/>
    </w:rPr>
  </w:style>
  <w:style w:type="character" w:customStyle="1" w:styleId="DataTypeTok">
    <w:name w:val="DataTypeTok"/>
    <w:basedOn w:val="VerbatimChar"/>
    <w:rPr>
      <w:rFonts w:ascii="Courier New" w:hAnsi="Courier New" w:cs="Courier New"/>
      <w:color w:val="204A87"/>
      <w:shd w:val="clear" w:color="auto" w:fill="F8F8F8"/>
    </w:rPr>
  </w:style>
  <w:style w:type="character" w:customStyle="1" w:styleId="DecValTok">
    <w:name w:val="DecValTok"/>
    <w:basedOn w:val="VerbatimChar"/>
    <w:rPr>
      <w:rFonts w:ascii="Courier New" w:hAnsi="Courier New" w:cs="Courier New"/>
      <w:color w:val="0000CF"/>
      <w:shd w:val="clear" w:color="auto" w:fill="F8F8F8"/>
    </w:rPr>
  </w:style>
  <w:style w:type="character" w:customStyle="1" w:styleId="BaseNTok">
    <w:name w:val="BaseNTok"/>
    <w:basedOn w:val="VerbatimChar"/>
    <w:rPr>
      <w:rFonts w:ascii="Courier New" w:hAnsi="Courier New" w:cs="Courier New"/>
      <w:color w:val="0000CF"/>
      <w:shd w:val="clear" w:color="auto" w:fill="F8F8F8"/>
    </w:rPr>
  </w:style>
  <w:style w:type="character" w:customStyle="1" w:styleId="FloatTok">
    <w:name w:val="FloatTok"/>
    <w:basedOn w:val="VerbatimChar"/>
    <w:rPr>
      <w:rFonts w:ascii="Courier New" w:hAnsi="Courier New" w:cs="Courier New"/>
      <w:color w:val="0000CF"/>
      <w:shd w:val="clear" w:color="auto" w:fill="F8F8F8"/>
    </w:rPr>
  </w:style>
  <w:style w:type="character" w:customStyle="1" w:styleId="ConstantTok">
    <w:name w:val="ConstantTok"/>
    <w:basedOn w:val="VerbatimChar"/>
    <w:rPr>
      <w:rFonts w:ascii="Courier New" w:hAnsi="Courier New" w:cs="Courier New"/>
      <w:color w:val="8F5902"/>
      <w:shd w:val="clear" w:color="auto" w:fill="F8F8F8"/>
    </w:rPr>
  </w:style>
  <w:style w:type="character" w:customStyle="1" w:styleId="CharTok">
    <w:name w:val="CharTok"/>
    <w:basedOn w:val="VerbatimChar"/>
    <w:rPr>
      <w:rFonts w:ascii="Courier New" w:hAnsi="Courier New" w:cs="Courier New"/>
      <w:color w:val="4E9A06"/>
      <w:shd w:val="clear" w:color="auto" w:fill="F8F8F8"/>
    </w:rPr>
  </w:style>
  <w:style w:type="character" w:customStyle="1" w:styleId="SpecialCharTok">
    <w:name w:val="SpecialCharTok"/>
    <w:basedOn w:val="VerbatimChar"/>
    <w:rPr>
      <w:rFonts w:ascii="Courier New" w:hAnsi="Courier New" w:cs="Courier New"/>
      <w:b/>
      <w:color w:val="CE5C00"/>
      <w:shd w:val="clear" w:color="auto" w:fill="F8F8F8"/>
    </w:rPr>
  </w:style>
  <w:style w:type="character" w:customStyle="1" w:styleId="StringTok">
    <w:name w:val="StringTok"/>
    <w:basedOn w:val="VerbatimChar"/>
    <w:rPr>
      <w:rFonts w:ascii="Courier New" w:hAnsi="Courier New" w:cs="Courier New"/>
      <w:color w:val="4E9A06"/>
      <w:shd w:val="clear" w:color="auto" w:fill="F8F8F8"/>
    </w:rPr>
  </w:style>
  <w:style w:type="character" w:customStyle="1" w:styleId="VerbatimStringTok">
    <w:name w:val="VerbatimStringTok"/>
    <w:basedOn w:val="VerbatimChar"/>
    <w:rPr>
      <w:rFonts w:ascii="Courier New" w:hAnsi="Courier New" w:cs="Courier New"/>
      <w:color w:val="4E9A06"/>
      <w:shd w:val="clear" w:color="auto" w:fill="F8F8F8"/>
    </w:rPr>
  </w:style>
  <w:style w:type="character" w:customStyle="1" w:styleId="SpecialStringTok">
    <w:name w:val="SpecialStringTok"/>
    <w:basedOn w:val="VerbatimChar"/>
    <w:rPr>
      <w:rFonts w:ascii="Courier New" w:hAnsi="Courier New" w:cs="Courier New"/>
      <w:color w:val="4E9A06"/>
      <w:shd w:val="clear" w:color="auto" w:fill="F8F8F8"/>
    </w:rPr>
  </w:style>
  <w:style w:type="character" w:customStyle="1" w:styleId="ImportTok">
    <w:name w:val="ImportTok"/>
    <w:basedOn w:val="VerbatimChar"/>
    <w:rPr>
      <w:rFonts w:ascii="Courier New" w:hAnsi="Courier New" w:cs="Courier New"/>
      <w:shd w:val="clear" w:color="auto" w:fill="F8F8F8"/>
    </w:rPr>
  </w:style>
  <w:style w:type="character" w:customStyle="1" w:styleId="CommentTok">
    <w:name w:val="CommentTok"/>
    <w:basedOn w:val="VerbatimChar"/>
    <w:rPr>
      <w:rFonts w:ascii="Courier New" w:hAnsi="Courier New" w:cs="Courier New"/>
      <w:i/>
      <w:color w:val="8F5902"/>
      <w:shd w:val="clear" w:color="auto" w:fill="F8F8F8"/>
    </w:rPr>
  </w:style>
  <w:style w:type="character" w:customStyle="1" w:styleId="DocumentationTok">
    <w:name w:val="DocumentationTok"/>
    <w:basedOn w:val="VerbatimChar"/>
    <w:rPr>
      <w:rFonts w:ascii="Courier New" w:hAnsi="Courier New" w:cs="Courier New"/>
      <w:b/>
      <w:i/>
      <w:color w:val="8F5902"/>
      <w:shd w:val="clear" w:color="auto" w:fill="F8F8F8"/>
    </w:rPr>
  </w:style>
  <w:style w:type="character" w:customStyle="1" w:styleId="AnnotationTok">
    <w:name w:val="AnnotationTok"/>
    <w:basedOn w:val="VerbatimChar"/>
    <w:rPr>
      <w:rFonts w:ascii="Courier New" w:hAnsi="Courier New" w:cs="Courier New"/>
      <w:b/>
      <w:i/>
      <w:color w:val="8F5902"/>
      <w:shd w:val="clear" w:color="auto" w:fill="F8F8F8"/>
    </w:rPr>
  </w:style>
  <w:style w:type="character" w:customStyle="1" w:styleId="CommentVarTok">
    <w:name w:val="CommentVarTok"/>
    <w:basedOn w:val="VerbatimChar"/>
    <w:rPr>
      <w:rFonts w:ascii="Courier New" w:hAnsi="Courier New" w:cs="Courier New"/>
      <w:b/>
      <w:i/>
      <w:color w:val="8F5902"/>
      <w:shd w:val="clear" w:color="auto" w:fill="F8F8F8"/>
    </w:rPr>
  </w:style>
  <w:style w:type="character" w:customStyle="1" w:styleId="OtherTok">
    <w:name w:val="OtherTok"/>
    <w:basedOn w:val="VerbatimChar"/>
    <w:rPr>
      <w:rFonts w:ascii="Courier New" w:hAnsi="Courier New" w:cs="Courier New"/>
      <w:color w:val="8F5902"/>
      <w:shd w:val="clear" w:color="auto" w:fill="F8F8F8"/>
    </w:rPr>
  </w:style>
  <w:style w:type="character" w:customStyle="1" w:styleId="FunctionTok">
    <w:name w:val="FunctionTok"/>
    <w:basedOn w:val="VerbatimChar"/>
    <w:rPr>
      <w:rFonts w:ascii="Courier New" w:hAnsi="Courier New" w:cs="Courier New"/>
      <w:b/>
      <w:color w:val="204A87"/>
      <w:shd w:val="clear" w:color="auto" w:fill="F8F8F8"/>
    </w:rPr>
  </w:style>
  <w:style w:type="character" w:customStyle="1" w:styleId="VariableTok">
    <w:name w:val="VariableTok"/>
    <w:basedOn w:val="VerbatimChar"/>
    <w:rPr>
      <w:rFonts w:ascii="Courier New" w:hAnsi="Courier New" w:cs="Courier New"/>
      <w:color w:val="000000"/>
      <w:shd w:val="clear" w:color="auto" w:fill="F8F8F8"/>
    </w:rPr>
  </w:style>
  <w:style w:type="character" w:customStyle="1" w:styleId="ControlFlowTok">
    <w:name w:val="ControlFlowTok"/>
    <w:basedOn w:val="VerbatimChar"/>
    <w:rPr>
      <w:rFonts w:ascii="Courier New" w:hAnsi="Courier New" w:cs="Courier New"/>
      <w:b/>
      <w:color w:val="204A87"/>
      <w:shd w:val="clear" w:color="auto" w:fill="F8F8F8"/>
    </w:rPr>
  </w:style>
  <w:style w:type="character" w:customStyle="1" w:styleId="OperatorTok">
    <w:name w:val="OperatorTok"/>
    <w:basedOn w:val="VerbatimChar"/>
    <w:rPr>
      <w:rFonts w:ascii="Courier New" w:hAnsi="Courier New" w:cs="Courier New"/>
      <w:b/>
      <w:color w:val="CE5C00"/>
      <w:shd w:val="clear" w:color="auto" w:fill="F8F8F8"/>
    </w:rPr>
  </w:style>
  <w:style w:type="character" w:customStyle="1" w:styleId="BuiltInTok">
    <w:name w:val="BuiltInTok"/>
    <w:basedOn w:val="VerbatimChar"/>
    <w:rPr>
      <w:rFonts w:ascii="Courier New" w:hAnsi="Courier New" w:cs="Courier New"/>
      <w:shd w:val="clear" w:color="auto" w:fill="F8F8F8"/>
    </w:rPr>
  </w:style>
  <w:style w:type="character" w:customStyle="1" w:styleId="ExtensionTok">
    <w:name w:val="ExtensionTok"/>
    <w:basedOn w:val="VerbatimChar"/>
    <w:rPr>
      <w:rFonts w:ascii="Courier New" w:hAnsi="Courier New" w:cs="Courier New"/>
      <w:shd w:val="clear" w:color="auto" w:fill="F8F8F8"/>
    </w:rPr>
  </w:style>
  <w:style w:type="character" w:customStyle="1" w:styleId="PreprocessorTok">
    <w:name w:val="PreprocessorTok"/>
    <w:basedOn w:val="VerbatimChar"/>
    <w:rPr>
      <w:rFonts w:ascii="Courier New" w:hAnsi="Courier New" w:cs="Courier New"/>
      <w:i/>
      <w:color w:val="8F5902"/>
      <w:shd w:val="clear" w:color="auto" w:fill="F8F8F8"/>
    </w:rPr>
  </w:style>
  <w:style w:type="character" w:customStyle="1" w:styleId="AttributeTok">
    <w:name w:val="AttributeTok"/>
    <w:basedOn w:val="VerbatimChar"/>
    <w:rPr>
      <w:rFonts w:ascii="Courier New" w:hAnsi="Courier New" w:cs="Courier New"/>
      <w:color w:val="204A87"/>
      <w:shd w:val="clear" w:color="auto" w:fill="F8F8F8"/>
    </w:rPr>
  </w:style>
  <w:style w:type="character" w:customStyle="1" w:styleId="RegionMarkerTok">
    <w:name w:val="RegionMarkerTok"/>
    <w:basedOn w:val="VerbatimChar"/>
    <w:rPr>
      <w:rFonts w:ascii="Courier New" w:hAnsi="Courier New" w:cs="Courier New"/>
      <w:shd w:val="clear" w:color="auto" w:fill="F8F8F8"/>
    </w:rPr>
  </w:style>
  <w:style w:type="character" w:customStyle="1" w:styleId="InformationTok">
    <w:name w:val="InformationTok"/>
    <w:basedOn w:val="VerbatimChar"/>
    <w:rPr>
      <w:rFonts w:ascii="Courier New" w:hAnsi="Courier New" w:cs="Courier New"/>
      <w:b/>
      <w:i/>
      <w:color w:val="8F5902"/>
      <w:shd w:val="clear" w:color="auto" w:fill="F8F8F8"/>
    </w:rPr>
  </w:style>
  <w:style w:type="character" w:customStyle="1" w:styleId="WarningTok">
    <w:name w:val="WarningTok"/>
    <w:basedOn w:val="VerbatimChar"/>
    <w:rPr>
      <w:rFonts w:ascii="Courier New" w:hAnsi="Courier New" w:cs="Courier New"/>
      <w:b/>
      <w:i/>
      <w:color w:val="8F5902"/>
      <w:shd w:val="clear" w:color="auto" w:fill="F8F8F8"/>
    </w:rPr>
  </w:style>
  <w:style w:type="character" w:customStyle="1" w:styleId="AlertTok">
    <w:name w:val="AlertTok"/>
    <w:basedOn w:val="VerbatimChar"/>
    <w:rPr>
      <w:rFonts w:ascii="Courier New" w:hAnsi="Courier New" w:cs="Courier New"/>
      <w:color w:val="EF2929"/>
      <w:shd w:val="clear" w:color="auto" w:fill="F8F8F8"/>
    </w:rPr>
  </w:style>
  <w:style w:type="character" w:customStyle="1" w:styleId="ErrorTok">
    <w:name w:val="ErrorTok"/>
    <w:basedOn w:val="VerbatimChar"/>
    <w:rPr>
      <w:rFonts w:ascii="Courier New" w:hAnsi="Courier New" w:cs="Courier New"/>
      <w:b/>
      <w:color w:val="A40000"/>
      <w:shd w:val="clear" w:color="auto" w:fill="F8F8F8"/>
    </w:rPr>
  </w:style>
  <w:style w:type="character" w:customStyle="1" w:styleId="NormalTok">
    <w:name w:val="NormalTok"/>
    <w:basedOn w:val="VerbatimChar"/>
    <w:rPr>
      <w:rFonts w:ascii="Courier New" w:hAnsi="Courier New" w:cs="Courier New"/>
      <w:shd w:val="clear" w:color="auto" w:fill="F8F8F8"/>
    </w:rPr>
  </w:style>
  <w:style w:type="paragraph" w:styleId="Header">
    <w:name w:val="header"/>
    <w:basedOn w:val="Normal"/>
    <w:link w:val="HeaderChar"/>
    <w:rsid w:val="00C159BC"/>
    <w:pPr>
      <w:tabs>
        <w:tab w:val="center" w:pos="4680"/>
        <w:tab w:val="right" w:pos="9360"/>
      </w:tabs>
      <w:spacing w:after="0"/>
    </w:pPr>
    <w:rPr>
      <w:rFonts w:ascii="Arial" w:hAnsi="Arial" w:cs="Arial"/>
      <w:b/>
      <w:bCs/>
      <w:noProof/>
      <w:color w:val="0067B9"/>
      <w:sz w:val="36"/>
      <w:szCs w:val="36"/>
      <w:bdr w:val="none" w:sz="0" w:space="0" w:color="auto" w:frame="1"/>
    </w:rPr>
  </w:style>
  <w:style w:type="character" w:customStyle="1" w:styleId="HeaderChar">
    <w:name w:val="Header Char"/>
    <w:basedOn w:val="DefaultParagraphFont"/>
    <w:link w:val="Header"/>
    <w:rsid w:val="00C159BC"/>
    <w:rPr>
      <w:rFonts w:ascii="Arial" w:hAnsi="Arial" w:cs="Arial"/>
      <w:b/>
      <w:bCs/>
      <w:noProof/>
      <w:color w:val="0067B9"/>
      <w:sz w:val="36"/>
      <w:szCs w:val="36"/>
      <w:bdr w:val="none" w:sz="0" w:space="0" w:color="auto" w:frame="1"/>
    </w:rPr>
  </w:style>
  <w:style w:type="paragraph" w:styleId="Footer">
    <w:name w:val="footer"/>
    <w:basedOn w:val="Normal"/>
    <w:link w:val="FooterChar"/>
    <w:uiPriority w:val="99"/>
    <w:rsid w:val="00890C82"/>
    <w:pPr>
      <w:tabs>
        <w:tab w:val="center" w:pos="4680"/>
        <w:tab w:val="right" w:pos="9360"/>
      </w:tabs>
      <w:spacing w:after="0"/>
      <w:jc w:val="center"/>
    </w:pPr>
    <w:rPr>
      <w:noProof/>
    </w:rPr>
  </w:style>
  <w:style w:type="character" w:customStyle="1" w:styleId="FooterChar">
    <w:name w:val="Footer Char"/>
    <w:basedOn w:val="DefaultParagraphFont"/>
    <w:link w:val="Footer"/>
    <w:uiPriority w:val="99"/>
    <w:rsid w:val="00890C82"/>
    <w:rPr>
      <w:noProof/>
    </w:rPr>
  </w:style>
  <w:style w:type="paragraph" w:styleId="HTMLPreformatted">
    <w:name w:val="HTML Preformatted"/>
    <w:basedOn w:val="Normal"/>
    <w:link w:val="HTMLPreformattedChar"/>
    <w:uiPriority w:val="99"/>
    <w:unhideWhenUsed/>
    <w:rsid w:val="003C09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C09F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52493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agrilinks.org/events/drivers-agrifood-system-transformation-lessons-feed-future-country-studies" TargetMode="External"/><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hyperlink" Target="https://docs.google.com/document/d/13n-43ppFiGKauscQ7HaAiQDCM4DssGEgRdq2fMyTDn0/edit" TargetMode="External"/><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footer" Target="footer3.xml"/></Relationships>
</file>

<file path=word/_rels/footer2.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E5289F-A283-4F6F-BC0A-C59C772974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4345</TotalTime>
  <Pages>1</Pages>
  <Words>1089</Words>
  <Characters>6209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FTF FY 2023 Performance Scorecard USAID Bangladesh (BANGLADESH)</vt:lpstr>
    </vt:vector>
  </TitlesOfParts>
  <Company>USAID</Company>
  <LinksUpToDate>false</LinksUpToDate>
  <CharactersWithSpaces>7284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FTF FY 2023 Performance Scorecard USAID Bangladesh (BANGLADESH)</dc:title>
  <dc:creator>Thomas, Ryan (RFS/PA)</dc:creator>
  <cp:keywords/>
  <cp:lastModifiedBy>Thomas, Ryan (RFS/PA)</cp:lastModifiedBy>
  <cp:revision>4</cp:revision>
  <dcterms:created xsi:type="dcterms:W3CDTF">2024-05-03T16:59:00Z</dcterms:created>
  <dcterms:modified xsi:type="dcterms:W3CDTF">2024-05-06T17:16:00Z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