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Ghana</w:t>
      </w:r>
    </w:p>
    <w:p>
      <w:pPr>
        <w:pStyle w:val="FirstParagraph"/>
      </w:pPr>
      <w:r>
        <w:t xml:space="preserve">This Feed the Future (FTF) Performance Scorecard assesses the USAID Ghana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Ghana%20(GHAN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Ghana%20(GHAN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Ghana.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Ghana%20(GHAN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Ghana%20(GHAN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Ghana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$203,670,000.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Ghana%20(GHAN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Ghana%20(GHAN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Ghana had 5 IMs/Activities that reported all four sex disaggregates needed to contribute to PT2. The total value of financing among all activities, regardless of disaggregates, was $58,590,000 (EG.3.2-27 total), with $58,590,000 that was disaggregated by females and males, and an additional $8,930,000 to</w:t>
      </w:r>
      <w:r>
        <w:t xml:space="preserve"> </w:t>
      </w:r>
      <w:r>
        <w:t xml:space="preserve">‘</w:t>
      </w:r>
      <w:r>
        <w:t xml:space="preserve">mixed</w:t>
      </w:r>
      <w:r>
        <w:t xml:space="preserve">’</w:t>
      </w:r>
      <w:r>
        <w:t xml:space="preserve"> </w:t>
      </w:r>
      <w:r>
        <w:t xml:space="preserve">firms that have both males and females, and $10,000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Ghana%20(GHAN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Ghana%20(GHAN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Ghana had 12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Ghana%20(GHAN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Ghana%20(GHAN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Ghana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Ghana%20(GHAN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Ghana%20(GHAN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Ghana was in 2020 and showed that 27% of women in the ZOI had access to a minimally-diverse diet. The FY30 target is 40% percent.The most recent PBS was in 2023, but results are not yet available.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Ghana%20(GHAN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Ghana%20(GHAN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Ghana%20(GHAN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Ghana (GHANA)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98"/>
        <w:gridCol w:w="809"/>
        <w:gridCol w:w="3988"/>
        <w:gridCol w:w="1098"/>
        <w:gridCol w:w="231"/>
        <w:gridCol w:w="231"/>
        <w:gridCol w:w="231"/>
        <w:gridCol w:w="23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72064122C00001</w:t>
            </w:r>
          </w:p>
        </w:tc>
        <w:tc>
          <w:tcPr/>
          <w:p>
            <w:pPr>
              <w:pStyle w:val="Compact"/>
              <w:jc w:val="right"/>
            </w:pPr>
            <w:r>
              <w:t xml:space="preserve">5005</w:t>
            </w:r>
          </w:p>
        </w:tc>
        <w:tc>
          <w:tcPr/>
          <w:p>
            <w:pPr>
              <w:pStyle w:val="Compact"/>
              <w:jc w:val="left"/>
            </w:pPr>
            <w:r>
              <w:t xml:space="preserve">Feed the Future Ghana Market Systems and Resilience Activity</w:t>
            </w:r>
          </w:p>
        </w:tc>
        <w:tc>
          <w:tcPr/>
          <w:p>
            <w:pPr>
              <w:pStyle w:val="Compact"/>
              <w:jc w:val="left"/>
            </w:pPr>
            <w:r>
              <w:t xml:space="preserve">$7,080,380</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72064120C00003</w:t>
            </w:r>
          </w:p>
        </w:tc>
        <w:tc>
          <w:tcPr/>
          <w:p>
            <w:pPr>
              <w:pStyle w:val="Compact"/>
              <w:jc w:val="right"/>
            </w:pPr>
            <w:r>
              <w:t xml:space="preserve">1851</w:t>
            </w:r>
          </w:p>
        </w:tc>
        <w:tc>
          <w:tcPr/>
          <w:p>
            <w:pPr>
              <w:pStyle w:val="Compact"/>
              <w:jc w:val="left"/>
            </w:pPr>
            <w:r>
              <w:t xml:space="preserve">Feed the Future Ghana Mobilizing Finance in Agriculture</w:t>
            </w:r>
          </w:p>
        </w:tc>
        <w:tc>
          <w:tcPr/>
          <w:p>
            <w:pPr>
              <w:pStyle w:val="Compact"/>
              <w:jc w:val="left"/>
            </w:pPr>
            <w:r>
              <w:t xml:space="preserve">$6,726,686</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AID-OAA-A-17-00029</w:t>
            </w:r>
          </w:p>
        </w:tc>
        <w:tc>
          <w:tcPr/>
          <w:p>
            <w:pPr>
              <w:pStyle w:val="Compact"/>
              <w:jc w:val="right"/>
            </w:pPr>
            <w:r>
              <w:t xml:space="preserve">2406</w:t>
            </w:r>
          </w:p>
        </w:tc>
        <w:tc>
          <w:tcPr/>
          <w:p>
            <w:pPr>
              <w:pStyle w:val="Compact"/>
              <w:jc w:val="left"/>
            </w:pPr>
            <w:r>
              <w:t xml:space="preserve">AGRA-Partnership for Inclusive Agricultural Transformation in Africa</w:t>
            </w:r>
          </w:p>
        </w:tc>
        <w:tc>
          <w:tcPr/>
          <w:p>
            <w:pPr>
              <w:pStyle w:val="Compact"/>
              <w:jc w:val="left"/>
            </w:pPr>
            <w:r>
              <w:t xml:space="preserve">$3,728,871</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64"/>
        <w:gridCol w:w="710"/>
        <w:gridCol w:w="3503"/>
        <w:gridCol w:w="1015"/>
        <w:gridCol w:w="660"/>
        <w:gridCol w:w="456"/>
        <w:gridCol w:w="60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72064120C00003</w:t>
            </w:r>
          </w:p>
        </w:tc>
        <w:tc>
          <w:tcPr/>
          <w:p>
            <w:pPr>
              <w:pStyle w:val="Compact"/>
              <w:jc w:val="right"/>
            </w:pPr>
            <w:r>
              <w:t xml:space="preserve">1851</w:t>
            </w:r>
          </w:p>
        </w:tc>
        <w:tc>
          <w:tcPr/>
          <w:p>
            <w:pPr>
              <w:pStyle w:val="Compact"/>
              <w:jc w:val="left"/>
            </w:pPr>
            <w:r>
              <w:t xml:space="preserve">Feed the Future Ghana Mobilizing Finance in Agriculture</w:t>
            </w:r>
          </w:p>
        </w:tc>
        <w:tc>
          <w:tcPr/>
          <w:p>
            <w:pPr>
              <w:pStyle w:val="Compact"/>
              <w:jc w:val="left"/>
            </w:pPr>
            <w:r>
              <w:t xml:space="preserve">$6,726,686</w:t>
            </w:r>
          </w:p>
        </w:tc>
        <w:tc>
          <w:tcPr/>
          <w:p>
            <w:pPr>
              <w:pStyle w:val="Compact"/>
              <w:jc w:val="left"/>
            </w:pPr>
            <w:r>
              <w:t xml:space="preserve">$166,854,305</w:t>
            </w:r>
          </w:p>
        </w:tc>
        <w:tc>
          <w:tcPr/>
          <w:p>
            <w:pPr>
              <w:pStyle w:val="Compact"/>
              <w:jc w:val="left"/>
            </w:pPr>
            <w:r>
              <w:t xml:space="preserve">NA</w:t>
            </w:r>
          </w:p>
        </w:tc>
        <w:tc>
          <w:tcPr/>
          <w:p>
            <w:pPr>
              <w:pStyle w:val="Compact"/>
              <w:jc w:val="left"/>
            </w:pPr>
            <w:r>
              <w:t xml:space="preserve">$50,163,805</w:t>
            </w:r>
          </w:p>
        </w:tc>
      </w:tr>
      <w:tr>
        <w:tc>
          <w:tcPr/>
          <w:p>
            <w:pPr>
              <w:pStyle w:val="Compact"/>
              <w:jc w:val="left"/>
            </w:pPr>
            <w:r>
              <w:t xml:space="preserve">72064122C00001</w:t>
            </w:r>
          </w:p>
        </w:tc>
        <w:tc>
          <w:tcPr/>
          <w:p>
            <w:pPr>
              <w:pStyle w:val="Compact"/>
              <w:jc w:val="right"/>
            </w:pPr>
            <w:r>
              <w:t xml:space="preserve">5005</w:t>
            </w:r>
          </w:p>
        </w:tc>
        <w:tc>
          <w:tcPr/>
          <w:p>
            <w:pPr>
              <w:pStyle w:val="Compact"/>
              <w:jc w:val="left"/>
            </w:pPr>
            <w:r>
              <w:t xml:space="preserve">Feed the Future Ghana Market Systems and Resilience Activity</w:t>
            </w:r>
          </w:p>
        </w:tc>
        <w:tc>
          <w:tcPr/>
          <w:p>
            <w:pPr>
              <w:pStyle w:val="Compact"/>
              <w:jc w:val="left"/>
            </w:pPr>
            <w:r>
              <w:t xml:space="preserve">$7,080,380</w:t>
            </w:r>
          </w:p>
        </w:tc>
        <w:tc>
          <w:tcPr/>
          <w:p>
            <w:pPr>
              <w:pStyle w:val="Compact"/>
              <w:jc w:val="left"/>
            </w:pPr>
            <w:r>
              <w:t xml:space="preserve">$21,728,234</w:t>
            </w:r>
          </w:p>
        </w:tc>
        <w:tc>
          <w:tcPr/>
          <w:p>
            <w:pPr>
              <w:pStyle w:val="Compact"/>
              <w:jc w:val="left"/>
            </w:pPr>
            <w:r>
              <w:t xml:space="preserve">4 345</w:t>
            </w:r>
          </w:p>
        </w:tc>
        <w:tc>
          <w:tcPr/>
          <w:p>
            <w:pPr>
              <w:pStyle w:val="Compact"/>
              <w:jc w:val="left"/>
            </w:pPr>
            <w:r>
              <w:t xml:space="preserve">NA</w:t>
            </w:r>
          </w:p>
        </w:tc>
      </w:tr>
      <w:tr>
        <w:tc>
          <w:tcPr/>
          <w:p>
            <w:pPr>
              <w:pStyle w:val="Compact"/>
              <w:jc w:val="left"/>
            </w:pPr>
            <w:r>
              <w:t xml:space="preserve">72062019C00003</w:t>
            </w:r>
          </w:p>
        </w:tc>
        <w:tc>
          <w:tcPr/>
          <w:p>
            <w:pPr>
              <w:pStyle w:val="Compact"/>
              <w:jc w:val="right"/>
            </w:pPr>
            <w:r>
              <w:t xml:space="preserve">1097</w:t>
            </w:r>
          </w:p>
        </w:tc>
        <w:tc>
          <w:tcPr/>
          <w:p>
            <w:pPr>
              <w:pStyle w:val="Compact"/>
              <w:jc w:val="left"/>
            </w:pPr>
            <w:r>
              <w:t xml:space="preserve">West Africa Trade Hub</w:t>
            </w:r>
          </w:p>
        </w:tc>
        <w:tc>
          <w:tcPr/>
          <w:p>
            <w:pPr>
              <w:pStyle w:val="Compact"/>
              <w:jc w:val="left"/>
            </w:pPr>
            <w:r>
              <w:t xml:space="preserve">$1,520,444</w:t>
            </w:r>
          </w:p>
        </w:tc>
        <w:tc>
          <w:tcPr/>
          <w:p>
            <w:pPr>
              <w:pStyle w:val="Compact"/>
              <w:jc w:val="left"/>
            </w:pPr>
            <w:r>
              <w:t xml:space="preserve">$10,601,032</w:t>
            </w:r>
          </w:p>
        </w:tc>
        <w:tc>
          <w:tcPr/>
          <w:p>
            <w:pPr>
              <w:pStyle w:val="Compact"/>
              <w:jc w:val="left"/>
            </w:pPr>
            <w:r>
              <w:t xml:space="preserve">NA</w:t>
            </w:r>
          </w:p>
        </w:tc>
        <w:tc>
          <w:tcPr/>
          <w:p>
            <w:pPr>
              <w:pStyle w:val="Compact"/>
              <w:jc w:val="left"/>
            </w:pPr>
            <w:r>
              <w:t xml:space="preserve">$9,373,342</w:t>
            </w:r>
          </w:p>
        </w:tc>
      </w:tr>
      <w:tr>
        <w:tc>
          <w:tcPr/>
          <w:p>
            <w:pPr>
              <w:pStyle w:val="Compact"/>
              <w:jc w:val="left"/>
            </w:pPr>
            <w:r>
              <w:t xml:space="preserve">72064121C00002</w:t>
            </w:r>
          </w:p>
        </w:tc>
        <w:tc>
          <w:tcPr/>
          <w:p>
            <w:pPr>
              <w:pStyle w:val="Compact"/>
              <w:jc w:val="right"/>
            </w:pPr>
            <w:r>
              <w:t xml:space="preserve">5330</w:t>
            </w:r>
          </w:p>
        </w:tc>
        <w:tc>
          <w:tcPr/>
          <w:p>
            <w:pPr>
              <w:pStyle w:val="Compact"/>
              <w:jc w:val="left"/>
            </w:pPr>
            <w:r>
              <w:t xml:space="preserve">Feed the Future Ghana Trade and Investment Activity</w:t>
            </w:r>
          </w:p>
        </w:tc>
        <w:tc>
          <w:tcPr/>
          <w:p>
            <w:pPr>
              <w:pStyle w:val="Compact"/>
              <w:jc w:val="left"/>
            </w:pPr>
            <w:r>
              <w:t xml:space="preserve">$1,898,520</w:t>
            </w:r>
          </w:p>
        </w:tc>
        <w:tc>
          <w:tcPr/>
          <w:p>
            <w:pPr>
              <w:pStyle w:val="Compact"/>
              <w:jc w:val="left"/>
            </w:pPr>
            <w:r>
              <w:t xml:space="preserve">$4,485,809</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AID-OAA-A-17-00029</w:t>
            </w:r>
          </w:p>
        </w:tc>
        <w:tc>
          <w:tcPr/>
          <w:p>
            <w:pPr>
              <w:pStyle w:val="Compact"/>
              <w:jc w:val="right"/>
            </w:pPr>
            <w:r>
              <w:t xml:space="preserve">2406</w:t>
            </w:r>
          </w:p>
        </w:tc>
        <w:tc>
          <w:tcPr/>
          <w:p>
            <w:pPr>
              <w:pStyle w:val="Compact"/>
              <w:jc w:val="left"/>
            </w:pPr>
            <w:r>
              <w:t xml:space="preserve">AGRA-Partnership for Inclusive Agricultural Transformation in Africa</w:t>
            </w:r>
          </w:p>
        </w:tc>
        <w:tc>
          <w:tcPr/>
          <w:p>
            <w:pPr>
              <w:pStyle w:val="Compact"/>
              <w:jc w:val="left"/>
            </w:pPr>
            <w:r>
              <w:t xml:space="preserve">$3,728,871</w:t>
            </w:r>
          </w:p>
        </w:tc>
        <w:tc>
          <w:tcPr/>
          <w:p>
            <w:pPr>
              <w:pStyle w:val="Compact"/>
              <w:jc w:val="left"/>
            </w:pPr>
            <w:r>
              <w:t xml:space="preserve">NA</w:t>
            </w:r>
          </w:p>
        </w:tc>
        <w:tc>
          <w:tcPr/>
          <w:p>
            <w:pPr>
              <w:pStyle w:val="Compact"/>
              <w:jc w:val="left"/>
            </w:pPr>
            <w:r>
              <w:t xml:space="preserve">532 962</w:t>
            </w:r>
          </w:p>
        </w:tc>
        <w:tc>
          <w:tcPr/>
          <w:p>
            <w:pPr>
              <w:pStyle w:val="Compact"/>
              <w:jc w:val="left"/>
            </w:pPr>
            <w:r>
              <w:t xml:space="preserve">$32,000,000</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Ghana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Ghana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deviation in gender parity in access to finance was driven by the FTF Mobilizing Finance in Agriculture (MFA) activity. The experience of our programming in access to finance is that the dollar amounts sought by female borrowers is currently much lower than that of men. Overall, however, we are seeing more individual loans made to women than to men. N/A As adjustments to address this, we will seek ways through MFA to both increase loan sizes for women who want larger loans, and through increasing the total number of loans to women. The follow-on activity to MFA is also in design and we will ensure that performance targets require the partner to achieve parity. N/A as aggregate of FY2024 and FY2025 target value is more than the FY2023 actuals</w:t>
      </w:r>
    </w:p>
    <w:bookmarkStart w:id="81" w:name="enter-usaid-ghana-ghana-response-below"/>
    <w:p>
      <w:pPr>
        <w:pStyle w:val="Heading4"/>
      </w:pPr>
      <w:r>
        <w:t xml:space="preserve">Enter USAID Ghana (GHANA)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Ghana</dc:title>
  <dc:creator/>
  <cp:keywords/>
  <dcterms:created xsi:type="dcterms:W3CDTF">2024-05-19T18:09:57Z</dcterms:created>
  <dcterms:modified xsi:type="dcterms:W3CDTF">2024-05-19T18:09:57Z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