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70.png" ContentType="image/png"/>
  <Override PartName="/word/media/rId74.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Guatemala</w:t>
      </w:r>
    </w:p>
    <w:p>
      <w:pPr>
        <w:pStyle w:val="FirstParagraph"/>
      </w:pPr>
      <w:r>
        <w:t xml:space="preserve">This Feed the Future (FTF) Performance Scorecard assesses the USAID Guatemala progress toward FY 2030 Performance Targets.</w:t>
      </w:r>
    </w:p>
    <w:bookmarkStart w:id="82"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Guatemala%20(GUATEMAL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Guatemala%20(GUATEMAL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Guatemala.</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Guatemala%20(GUATEMAL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Guatemala%20(GUATEMAL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Guatemala had 4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3 contributed to the sales total of $51,490,000.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Guatemala%20(GUATEMAL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Guatemala%20(GUATEMAL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Guatemala had 2 IMs/Activities that reported all four sex disaggregates needed to contribute to PT2. The total value of financing among all activities, regardless of disaggregates, was $2,200,000 (EG.3.2-27 total), with $2,200,000 that was disaggregated by females and males, and an additional $5,000,000 to</w:t>
      </w:r>
      <w:r>
        <w:t xml:space="preserve"> </w:t>
      </w:r>
      <w:r>
        <w:t xml:space="preserve">‘</w:t>
      </w:r>
      <w:r>
        <w:t xml:space="preserve">mixed</w:t>
      </w:r>
      <w:r>
        <w:t xml:space="preserve">’</w:t>
      </w:r>
      <w:r>
        <w:t xml:space="preserve"> </w:t>
      </w:r>
      <w:r>
        <w:t xml:space="preserve">firms that have both males and females, and $2,580,000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Guatemala%20(GUATEMAL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Guatemala%20(GUATEMAL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Guatemala had 4 activities that aligned the indicator for hectares under improved management practices (EG.3.2-25). Of those activities, 1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Guatemala%20(GUATEMAL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Guatemala%20(GUATEMAL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Guatemala had 2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2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Guatemala%20(GUATEMAL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Guatemala%20(GUATEMAL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Guatemala.</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Guatemala%20(GUATEMALA)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3" w:name="agricultural-transformation-index-score"/>
    <w:p>
      <w:pPr>
        <w:pStyle w:val="Heading2"/>
      </w:pPr>
      <w:r>
        <w:t xml:space="preserve">Agricultural Transformation Index Score</w:t>
      </w:r>
    </w:p>
    <w:p>
      <w:pPr>
        <w:pStyle w:val="FirstParagraph"/>
      </w:pPr>
      <w:r>
        <w:t xml:space="preserve">The</w:t>
      </w:r>
      <w:r>
        <w:t xml:space="preserve"> </w:t>
      </w:r>
      <w:hyperlink r:id="rId69">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BodyText"/>
      </w:pPr>
      <w:r>
        <w:drawing>
          <wp:inline>
            <wp:extent cx="5813658" cy="2772075"/>
            <wp:effectExtent b="0" l="0" r="0" t="0"/>
            <wp:docPr descr="" title="" id="71" name="Picture"/>
            <a:graphic>
              <a:graphicData uri="http://schemas.openxmlformats.org/drawingml/2006/picture">
                <pic:pic>
                  <pic:nvPicPr>
                    <pic:cNvPr descr="C:\Users\rythomas\Documents\R_scripts\country_scorecards\country_scorecards\output\USAID%20Guatemala%20(GUATEMALA)_files/figure-docx/ati%20plot-1.png" id="72" name="Picture"/>
                    <pic:cNvPicPr>
                      <a:picLocks noChangeArrowheads="1" noChangeAspect="1"/>
                    </pic:cNvPicPr>
                  </pic:nvPicPr>
                  <pic:blipFill>
                    <a:blip r:embed="rId70"/>
                    <a:stretch>
                      <a:fillRect/>
                    </a:stretch>
                  </pic:blipFill>
                  <pic:spPr bwMode="auto">
                    <a:xfrm>
                      <a:off x="0" y="0"/>
                      <a:ext cx="5813658" cy="2772075"/>
                    </a:xfrm>
                    <a:prstGeom prst="rect">
                      <a:avLst/>
                    </a:prstGeom>
                    <a:noFill/>
                    <a:ln w="9525">
                      <a:noFill/>
                      <a:headEnd/>
                      <a:tailEnd/>
                    </a:ln>
                  </pic:spPr>
                </pic:pic>
              </a:graphicData>
            </a:graphic>
          </wp:inline>
        </w:drawing>
      </w:r>
    </w:p>
    <w:bookmarkEnd w:id="73"/>
    <w:bookmarkStart w:id="77"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5" name="Picture"/>
            <a:graphic>
              <a:graphicData uri="http://schemas.openxmlformats.org/drawingml/2006/picture">
                <pic:pic>
                  <pic:nvPicPr>
                    <pic:cNvPr descr="C:\Users\rythomas\Documents\R_scripts\country_scorecards\country_scorecards\output\USAID%20Guatemala%20(GUATEMALA)_files/figure-docx/budget%20plot-1.png" id="76" name="Picture"/>
                    <pic:cNvPicPr>
                      <a:picLocks noChangeArrowheads="1" noChangeAspect="1"/>
                    </pic:cNvPicPr>
                  </pic:nvPicPr>
                  <pic:blipFill>
                    <a:blip r:embed="rId74"/>
                    <a:stretch>
                      <a:fillRect/>
                    </a:stretch>
                  </pic:blipFill>
                  <pic:spPr bwMode="auto">
                    <a:xfrm>
                      <a:off x="0" y="0"/>
                      <a:ext cx="5943600" cy="3200400"/>
                    </a:xfrm>
                    <a:prstGeom prst="rect">
                      <a:avLst/>
                    </a:prstGeom>
                    <a:noFill/>
                    <a:ln w="9525">
                      <a:noFill/>
                      <a:headEnd/>
                      <a:tailEnd/>
                    </a:ln>
                  </pic:spPr>
                </pic:pic>
              </a:graphicData>
            </a:graphic>
          </wp:inline>
        </w:drawing>
      </w:r>
    </w:p>
    <w:bookmarkEnd w:id="77"/>
    <w:bookmarkStart w:id="78"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8"/>
    <w:bookmarkStart w:id="80" w:name="X5c5d246148a297ff9a3792eabd1fa065d738198"/>
    <w:p>
      <w:pPr>
        <w:pStyle w:val="Heading2"/>
      </w:pPr>
      <w:r>
        <w:t xml:space="preserve">Top Activities (Award Disbursements and Results)</w:t>
      </w:r>
    </w:p>
    <w:p>
      <w:pPr>
        <w:pStyle w:val="FirstParagraph"/>
      </w:pPr>
      <w:r>
        <w:t xml:space="preserve">This section highlights some activities in the USAID Guatemala (GUATEMALA)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983"/>
        <w:gridCol w:w="724"/>
        <w:gridCol w:w="4400"/>
        <w:gridCol w:w="983"/>
        <w:gridCol w:w="207"/>
        <w:gridCol w:w="207"/>
        <w:gridCol w:w="207"/>
        <w:gridCol w:w="207"/>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AID-520-A-17-00006</w:t>
            </w:r>
          </w:p>
        </w:tc>
        <w:tc>
          <w:tcPr/>
          <w:p>
            <w:pPr>
              <w:pStyle w:val="Compact"/>
              <w:jc w:val="right"/>
            </w:pPr>
            <w:r>
              <w:t xml:space="preserve">1494</w:t>
            </w:r>
          </w:p>
        </w:tc>
        <w:tc>
          <w:tcPr/>
          <w:p>
            <w:pPr>
              <w:pStyle w:val="Compact"/>
              <w:jc w:val="left"/>
            </w:pPr>
            <w:r>
              <w:t xml:space="preserve">Feed the Future Guatemala Innovative Solutions for Agricultural Value Chains Project</w:t>
            </w:r>
          </w:p>
        </w:tc>
        <w:tc>
          <w:tcPr/>
          <w:p>
            <w:pPr>
              <w:pStyle w:val="Compact"/>
              <w:jc w:val="left"/>
            </w:pPr>
            <w:r>
              <w:t xml:space="preserve">$6,455,811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72052018CA00001</w:t>
            </w:r>
          </w:p>
        </w:tc>
        <w:tc>
          <w:tcPr/>
          <w:p>
            <w:pPr>
              <w:pStyle w:val="Compact"/>
              <w:jc w:val="right"/>
            </w:pPr>
            <w:r>
              <w:t xml:space="preserve">1493</w:t>
            </w:r>
          </w:p>
        </w:tc>
        <w:tc>
          <w:tcPr/>
          <w:p>
            <w:pPr>
              <w:pStyle w:val="Compact"/>
              <w:jc w:val="left"/>
            </w:pPr>
            <w:r>
              <w:t xml:space="preserve">Feed the Future Guatemala Coffee Value Chains Project</w:t>
            </w:r>
          </w:p>
        </w:tc>
        <w:tc>
          <w:tcPr/>
          <w:p>
            <w:pPr>
              <w:pStyle w:val="Compact"/>
              <w:jc w:val="left"/>
            </w:pPr>
            <w:r>
              <w:t xml:space="preserve">$1,152,741</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885"/>
        <w:gridCol w:w="652"/>
        <w:gridCol w:w="3960"/>
        <w:gridCol w:w="931"/>
        <w:gridCol w:w="559"/>
        <w:gridCol w:w="419"/>
        <w:gridCol w:w="512"/>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AID-520-A-17-00006</w:t>
            </w:r>
          </w:p>
        </w:tc>
        <w:tc>
          <w:tcPr/>
          <w:p>
            <w:pPr>
              <w:pStyle w:val="Compact"/>
              <w:jc w:val="right"/>
            </w:pPr>
            <w:r>
              <w:t xml:space="preserve">1494</w:t>
            </w:r>
          </w:p>
        </w:tc>
        <w:tc>
          <w:tcPr/>
          <w:p>
            <w:pPr>
              <w:pStyle w:val="Compact"/>
              <w:jc w:val="left"/>
            </w:pPr>
            <w:r>
              <w:t xml:space="preserve">Feed the Future Guatemala Innovative Solutions for Agricultural Value Chains Project</w:t>
            </w:r>
          </w:p>
        </w:tc>
        <w:tc>
          <w:tcPr/>
          <w:p>
            <w:pPr>
              <w:pStyle w:val="Compact"/>
              <w:jc w:val="left"/>
            </w:pPr>
            <w:r>
              <w:t xml:space="preserve">$6,455,811</w:t>
            </w:r>
          </w:p>
        </w:tc>
        <w:tc>
          <w:tcPr/>
          <w:p>
            <w:pPr>
              <w:pStyle w:val="Compact"/>
              <w:jc w:val="left"/>
            </w:pPr>
            <w:r>
              <w:t xml:space="preserve">$39,558,344</w:t>
            </w:r>
          </w:p>
        </w:tc>
        <w:tc>
          <w:tcPr/>
          <w:p>
            <w:pPr>
              <w:pStyle w:val="Compact"/>
              <w:jc w:val="left"/>
            </w:pPr>
            <w:r>
              <w:t xml:space="preserve">10 866</w:t>
            </w:r>
          </w:p>
        </w:tc>
        <w:tc>
          <w:tcPr/>
          <w:p>
            <w:pPr>
              <w:pStyle w:val="Compact"/>
              <w:jc w:val="left"/>
            </w:pPr>
            <w:r>
              <w:t xml:space="preserve">$5,452</w:t>
            </w:r>
          </w:p>
        </w:tc>
      </w:tr>
      <w:tr>
        <w:tc>
          <w:tcPr/>
          <w:p>
            <w:pPr>
              <w:pStyle w:val="Compact"/>
              <w:jc w:val="left"/>
            </w:pPr>
            <w:r>
              <w:t xml:space="preserve">72052021FA00002</w:t>
            </w:r>
          </w:p>
        </w:tc>
        <w:tc>
          <w:tcPr/>
          <w:p>
            <w:pPr>
              <w:pStyle w:val="Compact"/>
              <w:jc w:val="right"/>
            </w:pPr>
            <w:r>
              <w:t xml:space="preserve">5355</w:t>
            </w:r>
          </w:p>
        </w:tc>
        <w:tc>
          <w:tcPr/>
          <w:p>
            <w:pPr>
              <w:pStyle w:val="Compact"/>
              <w:jc w:val="left"/>
            </w:pPr>
            <w:r>
              <w:t xml:space="preserve">Guatemala Entrepreneurship Development Initiative (GEDI)</w:t>
            </w:r>
          </w:p>
        </w:tc>
        <w:tc>
          <w:tcPr/>
          <w:p>
            <w:pPr>
              <w:pStyle w:val="Compact"/>
              <w:jc w:val="left"/>
            </w:pPr>
            <w:r>
              <w:t xml:space="preserve">NA</w:t>
            </w:r>
          </w:p>
        </w:tc>
        <w:tc>
          <w:tcPr/>
          <w:p>
            <w:pPr>
              <w:pStyle w:val="Compact"/>
              <w:jc w:val="left"/>
            </w:pPr>
            <w:r>
              <w:t xml:space="preserve">$7,207,639</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72052018C00001</w:t>
            </w:r>
          </w:p>
        </w:tc>
        <w:tc>
          <w:tcPr/>
          <w:p>
            <w:pPr>
              <w:pStyle w:val="Compact"/>
              <w:jc w:val="right"/>
            </w:pPr>
            <w:r>
              <w:t xml:space="preserve">1485</w:t>
            </w:r>
          </w:p>
        </w:tc>
        <w:tc>
          <w:tcPr/>
          <w:p>
            <w:pPr>
              <w:pStyle w:val="Compact"/>
              <w:jc w:val="left"/>
            </w:pPr>
            <w:r>
              <w:t xml:space="preserve">Creating Economic Opportunities</w:t>
            </w:r>
          </w:p>
        </w:tc>
        <w:tc>
          <w:tcPr/>
          <w:p>
            <w:pPr>
              <w:pStyle w:val="Compact"/>
              <w:jc w:val="left"/>
            </w:pPr>
            <w:r>
              <w:t xml:space="preserve">NA</w:t>
            </w:r>
          </w:p>
        </w:tc>
        <w:tc>
          <w:tcPr/>
          <w:p>
            <w:pPr>
              <w:pStyle w:val="Compact"/>
              <w:jc w:val="left"/>
            </w:pPr>
            <w:r>
              <w:t xml:space="preserve">$4,727,477</w:t>
            </w:r>
          </w:p>
        </w:tc>
        <w:tc>
          <w:tcPr/>
          <w:p>
            <w:pPr>
              <w:pStyle w:val="Compact"/>
              <w:jc w:val="left"/>
            </w:pPr>
            <w:r>
              <w:t xml:space="preserve">NA</w:t>
            </w:r>
          </w:p>
        </w:tc>
        <w:tc>
          <w:tcPr/>
          <w:p>
            <w:pPr>
              <w:pStyle w:val="Compact"/>
              <w:jc w:val="left"/>
            </w:pPr>
            <w:r>
              <w:t xml:space="preserve">$9,815,596</w:t>
            </w:r>
          </w:p>
        </w:tc>
      </w:tr>
      <w:tr>
        <w:tc>
          <w:tcPr/>
          <w:p>
            <w:pPr>
              <w:pStyle w:val="Compact"/>
              <w:jc w:val="left"/>
            </w:pPr>
            <w:r>
              <w:t xml:space="preserve">72052018CA00001</w:t>
            </w:r>
          </w:p>
        </w:tc>
        <w:tc>
          <w:tcPr/>
          <w:p>
            <w:pPr>
              <w:pStyle w:val="Compact"/>
              <w:jc w:val="right"/>
            </w:pPr>
            <w:r>
              <w:t xml:space="preserve">1493</w:t>
            </w:r>
          </w:p>
        </w:tc>
        <w:tc>
          <w:tcPr/>
          <w:p>
            <w:pPr>
              <w:pStyle w:val="Compact"/>
              <w:jc w:val="left"/>
            </w:pPr>
            <w:r>
              <w:t xml:space="preserve">Feed the Future Guatemala Coffee Value Chains Project</w:t>
            </w:r>
          </w:p>
        </w:tc>
        <w:tc>
          <w:tcPr/>
          <w:p>
            <w:pPr>
              <w:pStyle w:val="Compact"/>
              <w:jc w:val="left"/>
            </w:pPr>
            <w:r>
              <w:t xml:space="preserve">$1,152,741</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p>
    <w:bookmarkStart w:id="79"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Guatemala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Guatemala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9"/>
    <w:bookmarkEnd w:id="80"/>
    <w:bookmarkStart w:id="81" w:name="performance-target-1-sales"/>
    <w:p>
      <w:pPr>
        <w:pStyle w:val="Heading2"/>
      </w:pPr>
      <w:r>
        <w:t xml:space="preserve">Performance Target 1: Sales</w:t>
      </w:r>
    </w:p>
    <w:p>
      <w:pPr>
        <w:pStyle w:val="FirstParagraph"/>
      </w:pPr>
      <w:r>
        <w:rPr>
          <w:iCs/>
          <w:i/>
        </w:rPr>
        <w:t xml:space="preserve">Excerpt from FY23 KIN Section 4 to consider:</w:t>
      </w:r>
      <w:r>
        <w:t xml:space="preserve">FY23, three activities generated $51,493,461 million in sales, which exceeds the $47.2 million target. FtF expects to meet and not exceed significantly the FY24 of $53.8 million and $60 million in FY25 because CEO and GEDI will not receive more FtF funds in FY24. Disaggregating the $51 million total shows that the ProInnova activity contributed nearly 77% of sales results, or $39.5 million, due to intensified efforts to increase the sales of organized and individual producers in the national market, as well as renewing and creating alliances with strategic partners to bolster international market sales in 2024. The target was exceeded due to the GEDI activity’s sales of $7.2 million versus their target of $477,000. This is due to the timing in reporting and design of GEDI which was able to recruit additional partners after the target was set. Overall, GEDI 2023 results are consistent with the goals recalculated during this year, and it will be regularized at the end of this activity, since this is an accurate reflection of planned stakeholders in FY 2023. CEO is the third contributor and provided specialized technical and financial assistance to 37 companies in agricultural value chains and achieved $4.73 million in sales through 19 of these companies. This far exceeded and doubled the CEO target of $1.7 million and was due to the addition of new companies in 2023 and exponential sales of a CEO-supported FtF company, Conservas y Congelado Ya Esta S.A., which was approved in December 2020. With CEO support for feasibility studies for business expansion, including architectural designs and plans, the company secured $5 million in May 2023, brought another 1,000 small-scale producers into its production lines, and generated 120 new jobs in its factory in Guatemala City. This company produces preserves, sauces, and corn-derived products and sauces for a diaspora market overseas and for traditional dishes in Guatemala.</w:t>
      </w:r>
    </w:p>
    <w:p>
      <w:pPr>
        <w:pStyle w:val="BodyText"/>
      </w:pPr>
      <w:r>
        <w:t xml:space="preserve">#### Enter USAID Guatemala (GUATEMALA) Response Below:</w:t>
      </w:r>
    </w:p>
    <w:bookmarkEnd w:id="81"/>
    <w:bookmarkEnd w:id="82"/>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Guatemala</dc:title>
  <dc:creator/>
  <cp:keywords/>
  <dcterms:created xsi:type="dcterms:W3CDTF">2024-05-19T18:10:01Z</dcterms:created>
  <dcterms:modified xsi:type="dcterms:W3CDTF">2024-05-19T18:10:01Z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