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Liberia</w:t>
      </w:r>
    </w:p>
    <w:p>
      <w:pPr>
        <w:pStyle w:val="FirstParagraph"/>
      </w:pPr>
      <w:r>
        <w:t xml:space="preserve">This Feed the Future (FTF) Performance Scorecard assesses the USAID Liberia progress toward FY 2030 Performance Targets.</w:t>
      </w:r>
    </w:p>
    <w:bookmarkStart w:id="84"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Liberia%20(LIBER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Liberia%20(LIBER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Liberia.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Liberia%20(LIBER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Liberia%20(LIBER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Liberia had 4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$210,000.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Liberia%20(LIBER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Liberia%20(LIBER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Liberia had 0 IMs/Activities that reported all four sex disaggregates needed to contribute to PT2. The total value of financing among all activities, regardless of disaggregates, was $0 (EG.3.2-27 total), with $0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Liberia%20(LIBER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Liberia%20(LIBER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Liberia had 5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Liberia%20(LIBER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Liberia%20(LIBER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Liberia had 6 activities that aligned the private sector investment indicator (EG.3.1-15/-14),</w:t>
      </w:r>
      <w:r>
        <w:t xml:space="preserve"> </w:t>
      </w:r>
      <w:r>
        <w:t xml:space="preserve">‘</w:t>
      </w:r>
      <w:r>
        <w:t xml:space="preserve">Value of new private sector investment leveraged by the USG to support food security and nutrition [IM-level], Value of new private sector investment leveraged by the USG to support food security and nutrition [IM-Level]</w:t>
      </w:r>
      <w:r>
        <w:t xml:space="preserve">’</w:t>
      </w:r>
      <w:r>
        <w:t xml:space="preserve">, and 5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Liberia%20(LIBER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Liberia%20(LIBER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Liberia.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Liberia%20(LIBER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Liberia%20(LIBERI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Liberia%20(LIBERI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Liberia (LIBERIA)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60"/>
        <w:gridCol w:w="990"/>
        <w:gridCol w:w="3394"/>
        <w:gridCol w:w="1343"/>
        <w:gridCol w:w="282"/>
        <w:gridCol w:w="282"/>
        <w:gridCol w:w="282"/>
        <w:gridCol w:w="28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7200AA21C00056</w:t>
            </w:r>
          </w:p>
        </w:tc>
        <w:tc>
          <w:tcPr/>
          <w:p>
            <w:pPr>
              <w:pStyle w:val="Compact"/>
              <w:jc w:val="right"/>
            </w:pPr>
            <w:r>
              <w:t xml:space="preserve">5971</w:t>
            </w:r>
          </w:p>
        </w:tc>
        <w:tc>
          <w:tcPr/>
          <w:p>
            <w:pPr>
              <w:pStyle w:val="Compact"/>
              <w:jc w:val="left"/>
            </w:pPr>
            <w:r>
              <w:t xml:space="preserve">Agribusiness Incubator and Development Activity</w:t>
            </w:r>
          </w:p>
        </w:tc>
        <w:tc>
          <w:tcPr/>
          <w:p>
            <w:pPr>
              <w:pStyle w:val="Compact"/>
              <w:jc w:val="left"/>
            </w:pPr>
            <w:r>
              <w:t xml:space="preserve">$965,728</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72062019C00003</w:t>
            </w:r>
          </w:p>
        </w:tc>
        <w:tc>
          <w:tcPr/>
          <w:p>
            <w:pPr>
              <w:pStyle w:val="Compact"/>
              <w:jc w:val="right"/>
            </w:pPr>
            <w:r>
              <w:t xml:space="preserve">4000</w:t>
            </w:r>
          </w:p>
        </w:tc>
        <w:tc>
          <w:tcPr/>
          <w:p>
            <w:pPr>
              <w:pStyle w:val="Compact"/>
              <w:jc w:val="left"/>
            </w:pPr>
            <w:r>
              <w:t xml:space="preserve">West Africa Trade and Investment Hub</w:t>
            </w:r>
          </w:p>
        </w:tc>
        <w:tc>
          <w:tcPr/>
          <w:p>
            <w:pPr>
              <w:pStyle w:val="Compact"/>
              <w:jc w:val="left"/>
            </w:pPr>
            <w:r>
              <w:t xml:space="preserve">$421,247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016"/>
        <w:gridCol w:w="749"/>
        <w:gridCol w:w="3638"/>
        <w:gridCol w:w="1070"/>
        <w:gridCol w:w="481"/>
        <w:gridCol w:w="481"/>
        <w:gridCol w:w="48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7200AA21C00056</w:t>
            </w:r>
          </w:p>
        </w:tc>
        <w:tc>
          <w:tcPr/>
          <w:p>
            <w:pPr>
              <w:pStyle w:val="Compact"/>
              <w:jc w:val="right"/>
            </w:pPr>
            <w:r>
              <w:t xml:space="preserve">5971</w:t>
            </w:r>
          </w:p>
        </w:tc>
        <w:tc>
          <w:tcPr/>
          <w:p>
            <w:pPr>
              <w:pStyle w:val="Compact"/>
              <w:jc w:val="left"/>
            </w:pPr>
            <w:r>
              <w:t xml:space="preserve">Agribusiness Incubator and Development Activity</w:t>
            </w:r>
          </w:p>
        </w:tc>
        <w:tc>
          <w:tcPr/>
          <w:p>
            <w:pPr>
              <w:pStyle w:val="Compact"/>
              <w:jc w:val="left"/>
            </w:pPr>
            <w:r>
              <w:t xml:space="preserve">$965,728</w:t>
            </w:r>
          </w:p>
        </w:tc>
        <w:tc>
          <w:tcPr/>
          <w:p>
            <w:pPr>
              <w:pStyle w:val="Compact"/>
              <w:jc w:val="left"/>
            </w:pPr>
            <w:r>
              <w:t xml:space="preserve">$212,000</w:t>
            </w:r>
          </w:p>
        </w:tc>
        <w:tc>
          <w:tcPr/>
          <w:p>
            <w:pPr>
              <w:pStyle w:val="Compact"/>
              <w:jc w:val="left"/>
            </w:pPr>
            <w:r>
              <w:t xml:space="preserve">NA</w:t>
            </w:r>
          </w:p>
        </w:tc>
        <w:tc>
          <w:tcPr/>
          <w:p>
            <w:pPr>
              <w:pStyle w:val="Compact"/>
              <w:jc w:val="left"/>
            </w:pPr>
            <w:r>
              <w:t xml:space="preserve">$819,453</w:t>
            </w:r>
          </w:p>
        </w:tc>
      </w:tr>
      <w:tr>
        <w:tc>
          <w:tcPr/>
          <w:p>
            <w:pPr>
              <w:pStyle w:val="Compact"/>
              <w:jc w:val="left"/>
            </w:pPr>
            <w:r>
              <w:t xml:space="preserve">NA</w:t>
            </w:r>
          </w:p>
        </w:tc>
        <w:tc>
          <w:tcPr/>
          <w:p>
            <w:pPr>
              <w:pStyle w:val="Compact"/>
              <w:jc w:val="right"/>
            </w:pPr>
            <w:r>
              <w:t xml:space="preserve">1570</w:t>
            </w:r>
          </w:p>
        </w:tc>
        <w:tc>
          <w:tcPr/>
          <w:p>
            <w:pPr>
              <w:pStyle w:val="Compact"/>
              <w:jc w:val="left"/>
            </w:pPr>
            <w:r>
              <w:t xml:space="preserve">107319: Food Security, Nutrition and Resilience Activity in Liberia</w:t>
            </w:r>
          </w:p>
        </w:tc>
        <w:tc>
          <w:tcPr/>
          <w:p>
            <w:pPr>
              <w:pStyle w:val="Compact"/>
              <w:jc w:val="left"/>
            </w:pPr>
            <w:r>
              <w:t xml:space="preserve">NA</w:t>
            </w:r>
          </w:p>
        </w:tc>
        <w:tc>
          <w:tcPr/>
          <w:p>
            <w:pPr>
              <w:pStyle w:val="Compact"/>
              <w:jc w:val="left"/>
            </w:pPr>
            <w:r>
              <w:t xml:space="preserve">NA</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AID-669-A-16-00005</w:t>
            </w:r>
          </w:p>
        </w:tc>
        <w:tc>
          <w:tcPr/>
          <w:p>
            <w:pPr>
              <w:pStyle w:val="Compact"/>
              <w:jc w:val="right"/>
            </w:pPr>
            <w:r>
              <w:t xml:space="preserve">1568</w:t>
            </w:r>
          </w:p>
        </w:tc>
        <w:tc>
          <w:tcPr/>
          <w:p>
            <w:pPr>
              <w:pStyle w:val="Compact"/>
              <w:jc w:val="left"/>
            </w:pPr>
            <w:r>
              <w:t xml:space="preserve">Liberia Agribusiness Development Activity</w:t>
            </w:r>
          </w:p>
        </w:tc>
        <w:tc>
          <w:tcPr/>
          <w:p>
            <w:pPr>
              <w:pStyle w:val="Compact"/>
              <w:jc w:val="left"/>
            </w:pPr>
            <w:r>
              <w:t xml:space="preserve">-$49,772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72062019C00003</w:t>
            </w:r>
          </w:p>
        </w:tc>
        <w:tc>
          <w:tcPr/>
          <w:p>
            <w:pPr>
              <w:pStyle w:val="Compact"/>
              <w:jc w:val="right"/>
            </w:pPr>
            <w:r>
              <w:t xml:space="preserve">4000</w:t>
            </w:r>
          </w:p>
        </w:tc>
        <w:tc>
          <w:tcPr/>
          <w:p>
            <w:pPr>
              <w:pStyle w:val="Compact"/>
              <w:jc w:val="left"/>
            </w:pPr>
            <w:r>
              <w:t xml:space="preserve">West Africa Trade and Investment Hub</w:t>
            </w:r>
          </w:p>
        </w:tc>
        <w:tc>
          <w:tcPr/>
          <w:p>
            <w:pPr>
              <w:pStyle w:val="Compact"/>
              <w:jc w:val="left"/>
            </w:pPr>
            <w:r>
              <w:t xml:space="preserve">$421,247</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Liberia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Liberia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FY23, the achievement only reached approximately 13 percent of the $1,610,000 target. This target was initially an estimate set before the Agribusiness Incubator and Development activity’s implementing partner had awarded grants to 11 agribusiness partners. The grant awards were finalized in the fourth quarter of FY 2023, with most grantees beginning implementation less than three months before reporting. Each of the 11 grant agreements outlines specific sales targets. While some grantees have already made sales under their agreements, the rest will begin registering sales in FY 2024, following their grant milestone plans. The Mission foresees a significant increase in figures during the next reporting period, driven by results from the two core FTF activities: Feed the Future Liberia Food Security, Nutrition, and Resilience (FSNR) and Agribusiness Incubator and Development.</w:t>
      </w:r>
    </w:p>
    <w:p>
      <w:pPr>
        <w:pStyle w:val="BodyText"/>
      </w:pPr>
      <w:r>
        <w:t xml:space="preserve">#### Enter USAID Liberia (LIBERIA) Response Below:</w:t>
      </w:r>
    </w:p>
    <w:bookmarkEnd w:id="81"/>
    <w:bookmarkStart w:id="83"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will report on the hectares of cultivated land under improved climate adaptation management practices or technologies beginning in FY 2024. The core FTF activity contributing to this result, FSNR, started up in Q2 of FY 2023.</w:t>
      </w:r>
    </w:p>
    <w:bookmarkStart w:id="82" w:name="X5a5bc7cb24d0e2a79f7226328baf74f1cc01041"/>
    <w:p>
      <w:pPr>
        <w:pStyle w:val="Heading4"/>
      </w:pPr>
      <w:r>
        <w:t xml:space="preserve">Enter USAID Liberia (LIBERIA) Response Below:</w:t>
      </w:r>
    </w:p>
    <w:bookmarkEnd w:id="82"/>
    <w:bookmarkEnd w:id="83"/>
    <w:bookmarkEnd w:id="84"/>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Liberia</dc:title>
  <dc:creator/>
  <cp:keywords/>
  <dcterms:created xsi:type="dcterms:W3CDTF">2024-05-19T18:10:24Z</dcterms:created>
  <dcterms:modified xsi:type="dcterms:W3CDTF">2024-05-19T18:10:24Z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