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Nigeria</w:t>
      </w:r>
    </w:p>
    <w:p>
      <w:pPr>
        <w:pStyle w:val="FirstParagraph"/>
      </w:pPr>
      <w:r>
        <w:t xml:space="preserve">This Feed the Future (FTF) Performance Scorecard assesses the USAID Nigeria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igeria%20(NIGER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igeria%20(NIGER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Nigeria.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igeria%20(NIGER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igeria%20(NIGER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Nigeria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$5,802,240,000.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igeria%20(NIGER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igeria%20(NIGER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Nigeria had 2 IMs/Activities that reported all four sex disaggregates needed to contribute to PT2. The total value of financing among all activities, regardless of disaggregates, was $32,640,000 (EG.3.2-27 total), with $32,640,000 that was disaggregated by females and males, and an additional $92,270,000 to</w:t>
      </w:r>
      <w:r>
        <w:t xml:space="preserve"> </w:t>
      </w:r>
      <w:r>
        <w:t xml:space="preserve">‘</w:t>
      </w:r>
      <w:r>
        <w:t xml:space="preserve">mixed</w:t>
      </w:r>
      <w:r>
        <w:t xml:space="preserve">’</w:t>
      </w:r>
      <w:r>
        <w:t xml:space="preserve"> </w:t>
      </w:r>
      <w:r>
        <w:t xml:space="preserve">firms that have both males and females, and $1,950,000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igeria%20(NIGER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igeria%20(NIGER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Nigeria had 21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igeria%20(NIGER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igeria%20(NIGER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Nigeria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igeria%20(NIGER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igeria%20(NIGER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Nigeria was in 2020 and showed that 37% of women in the ZOI had access to a minimally-diverse diet. The FY30 target is 49% percent.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igeria%20(NIGER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Nigeria%20(NIGER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Nigeria%20(NIGER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Nigeria (NIGERIA)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45"/>
        <w:gridCol w:w="827"/>
        <w:gridCol w:w="4078"/>
        <w:gridCol w:w="1122"/>
        <w:gridCol w:w="236"/>
        <w:gridCol w:w="236"/>
        <w:gridCol w:w="236"/>
        <w:gridCol w:w="23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72062019C00003</w:t>
            </w:r>
          </w:p>
        </w:tc>
        <w:tc>
          <w:tcPr/>
          <w:p>
            <w:pPr>
              <w:pStyle w:val="Compact"/>
              <w:jc w:val="right"/>
            </w:pPr>
            <w:r>
              <w:t xml:space="preserve">2344</w:t>
            </w:r>
          </w:p>
        </w:tc>
        <w:tc>
          <w:tcPr/>
          <w:p>
            <w:pPr>
              <w:pStyle w:val="Compact"/>
              <w:jc w:val="left"/>
            </w:pPr>
            <w:r>
              <w:t xml:space="preserve">West Africa Trade Hub</w:t>
            </w:r>
          </w:p>
        </w:tc>
        <w:tc>
          <w:tcPr/>
          <w:p>
            <w:pPr>
              <w:pStyle w:val="Compact"/>
              <w:jc w:val="left"/>
            </w:pPr>
            <w:r>
              <w:t xml:space="preserve">$13,613,583</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72062020CA00002</w:t>
            </w:r>
          </w:p>
        </w:tc>
        <w:tc>
          <w:tcPr/>
          <w:p>
            <w:pPr>
              <w:pStyle w:val="Compact"/>
              <w:jc w:val="right"/>
            </w:pPr>
            <w:r>
              <w:t xml:space="preserve">2342</w:t>
            </w:r>
          </w:p>
        </w:tc>
        <w:tc>
          <w:tcPr/>
          <w:p>
            <w:pPr>
              <w:pStyle w:val="Compact"/>
              <w:jc w:val="left"/>
            </w:pPr>
            <w:r>
              <w:t xml:space="preserve">Feed the Future Nigeria Rural Resilience</w:t>
            </w:r>
          </w:p>
        </w:tc>
        <w:tc>
          <w:tcPr/>
          <w:p>
            <w:pPr>
              <w:pStyle w:val="Compact"/>
              <w:jc w:val="left"/>
            </w:pPr>
            <w:r>
              <w:t xml:space="preserve">$8,025,150</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72062020C00001</w:t>
            </w:r>
          </w:p>
        </w:tc>
        <w:tc>
          <w:tcPr/>
          <w:p>
            <w:pPr>
              <w:pStyle w:val="Compact"/>
              <w:jc w:val="right"/>
            </w:pPr>
            <w:r>
              <w:t xml:space="preserve">2339</w:t>
            </w:r>
          </w:p>
        </w:tc>
        <w:tc>
          <w:tcPr/>
          <w:p>
            <w:pPr>
              <w:pStyle w:val="Compact"/>
              <w:jc w:val="left"/>
            </w:pPr>
            <w:r>
              <w:t xml:space="preserve">Feed the Future Nigeria Agricultural Extension and Advisory Services</w:t>
            </w:r>
          </w:p>
        </w:tc>
        <w:tc>
          <w:tcPr/>
          <w:p>
            <w:pPr>
              <w:pStyle w:val="Compact"/>
              <w:jc w:val="left"/>
            </w:pPr>
            <w:r>
              <w:t xml:space="preserve">$3,432,554</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72062019C00001</w:t>
            </w:r>
          </w:p>
        </w:tc>
        <w:tc>
          <w:tcPr/>
          <w:p>
            <w:pPr>
              <w:pStyle w:val="Compact"/>
              <w:jc w:val="right"/>
            </w:pPr>
            <w:r>
              <w:t xml:space="preserve">1406</w:t>
            </w:r>
          </w:p>
        </w:tc>
        <w:tc>
          <w:tcPr/>
          <w:p>
            <w:pPr>
              <w:pStyle w:val="Compact"/>
              <w:jc w:val="left"/>
            </w:pPr>
            <w:r>
              <w:t xml:space="preserve">Feed the Future Nigeria Agribusiness Investment</w:t>
            </w:r>
          </w:p>
        </w:tc>
        <w:tc>
          <w:tcPr/>
          <w:p>
            <w:pPr>
              <w:pStyle w:val="Compact"/>
              <w:jc w:val="left"/>
            </w:pPr>
            <w:r>
              <w:t xml:space="preserve">$3,190,548</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72062018IO00002</w:t>
            </w:r>
          </w:p>
        </w:tc>
        <w:tc>
          <w:tcPr/>
          <w:p>
            <w:pPr>
              <w:pStyle w:val="Compact"/>
              <w:jc w:val="right"/>
            </w:pPr>
            <w:r>
              <w:t xml:space="preserve">1410</w:t>
            </w:r>
          </w:p>
        </w:tc>
        <w:tc>
          <w:tcPr/>
          <w:p>
            <w:pPr>
              <w:pStyle w:val="Compact"/>
              <w:jc w:val="left"/>
            </w:pPr>
            <w:r>
              <w:t xml:space="preserve">Feed the Future Nigeria Integrated Agriculture</w:t>
            </w:r>
          </w:p>
        </w:tc>
        <w:tc>
          <w:tcPr/>
          <w:p>
            <w:pPr>
              <w:pStyle w:val="Compact"/>
              <w:jc w:val="left"/>
            </w:pPr>
            <w:r>
              <w:t xml:space="preserve">$2,410,335</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17"/>
        <w:gridCol w:w="715"/>
        <w:gridCol w:w="3525"/>
        <w:gridCol w:w="1021"/>
        <w:gridCol w:w="766"/>
        <w:gridCol w:w="459"/>
        <w:gridCol w:w="61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72062020C00001</w:t>
            </w:r>
          </w:p>
        </w:tc>
        <w:tc>
          <w:tcPr/>
          <w:p>
            <w:pPr>
              <w:pStyle w:val="Compact"/>
              <w:jc w:val="right"/>
            </w:pPr>
            <w:r>
              <w:t xml:space="preserve">2339</w:t>
            </w:r>
          </w:p>
        </w:tc>
        <w:tc>
          <w:tcPr/>
          <w:p>
            <w:pPr>
              <w:pStyle w:val="Compact"/>
              <w:jc w:val="left"/>
            </w:pPr>
            <w:r>
              <w:t xml:space="preserve">Feed the Future Nigeria Agricultural Extension and Advisory Services</w:t>
            </w:r>
          </w:p>
        </w:tc>
        <w:tc>
          <w:tcPr/>
          <w:p>
            <w:pPr>
              <w:pStyle w:val="Compact"/>
              <w:jc w:val="left"/>
            </w:pPr>
            <w:r>
              <w:t xml:space="preserve">$3,432,554</w:t>
            </w:r>
          </w:p>
        </w:tc>
        <w:tc>
          <w:tcPr/>
          <w:p>
            <w:pPr>
              <w:pStyle w:val="Compact"/>
              <w:jc w:val="left"/>
            </w:pPr>
            <w:r>
              <w:t xml:space="preserve">$5,658,124,161</w:t>
            </w:r>
          </w:p>
        </w:tc>
        <w:tc>
          <w:tcPr/>
          <w:p>
            <w:pPr>
              <w:pStyle w:val="Compact"/>
              <w:jc w:val="left"/>
            </w:pPr>
            <w:r>
              <w:t xml:space="preserve">NA</w:t>
            </w:r>
          </w:p>
        </w:tc>
        <w:tc>
          <w:tcPr/>
          <w:p>
            <w:pPr>
              <w:pStyle w:val="Compact"/>
              <w:jc w:val="left"/>
            </w:pPr>
            <w:r>
              <w:t xml:space="preserve">$12,487,772</w:t>
            </w:r>
          </w:p>
        </w:tc>
      </w:tr>
      <w:tr>
        <w:tc>
          <w:tcPr/>
          <w:p>
            <w:pPr>
              <w:pStyle w:val="Compact"/>
              <w:jc w:val="left"/>
            </w:pPr>
            <w:r>
              <w:t xml:space="preserve">72062019C00003</w:t>
            </w:r>
          </w:p>
        </w:tc>
        <w:tc>
          <w:tcPr/>
          <w:p>
            <w:pPr>
              <w:pStyle w:val="Compact"/>
              <w:jc w:val="right"/>
            </w:pPr>
            <w:r>
              <w:t xml:space="preserve">2344</w:t>
            </w:r>
          </w:p>
        </w:tc>
        <w:tc>
          <w:tcPr/>
          <w:p>
            <w:pPr>
              <w:pStyle w:val="Compact"/>
              <w:jc w:val="left"/>
            </w:pPr>
            <w:r>
              <w:t xml:space="preserve">West Africa Trade Hub</w:t>
            </w:r>
          </w:p>
        </w:tc>
        <w:tc>
          <w:tcPr/>
          <w:p>
            <w:pPr>
              <w:pStyle w:val="Compact"/>
              <w:jc w:val="left"/>
            </w:pPr>
            <w:r>
              <w:t xml:space="preserve">$13,613,583</w:t>
            </w:r>
          </w:p>
        </w:tc>
        <w:tc>
          <w:tcPr/>
          <w:p>
            <w:pPr>
              <w:pStyle w:val="Compact"/>
              <w:jc w:val="left"/>
            </w:pPr>
            <w:r>
              <w:t xml:space="preserve">$120,160,687</w:t>
            </w:r>
          </w:p>
        </w:tc>
        <w:tc>
          <w:tcPr/>
          <w:p>
            <w:pPr>
              <w:pStyle w:val="Compact"/>
              <w:jc w:val="left"/>
            </w:pPr>
            <w:r>
              <w:t xml:space="preserve">NA</w:t>
            </w:r>
          </w:p>
        </w:tc>
        <w:tc>
          <w:tcPr/>
          <w:p>
            <w:pPr>
              <w:pStyle w:val="Compact"/>
              <w:jc w:val="left"/>
            </w:pPr>
            <w:r>
              <w:t xml:space="preserve">$59,823,778</w:t>
            </w:r>
          </w:p>
        </w:tc>
      </w:tr>
      <w:tr>
        <w:tc>
          <w:tcPr/>
          <w:p>
            <w:pPr>
              <w:pStyle w:val="Compact"/>
              <w:jc w:val="left"/>
            </w:pPr>
            <w:r>
              <w:t xml:space="preserve">72062020CA00002</w:t>
            </w:r>
          </w:p>
        </w:tc>
        <w:tc>
          <w:tcPr/>
          <w:p>
            <w:pPr>
              <w:pStyle w:val="Compact"/>
              <w:jc w:val="right"/>
            </w:pPr>
            <w:r>
              <w:t xml:space="preserve">2342</w:t>
            </w:r>
          </w:p>
        </w:tc>
        <w:tc>
          <w:tcPr/>
          <w:p>
            <w:pPr>
              <w:pStyle w:val="Compact"/>
              <w:jc w:val="left"/>
            </w:pPr>
            <w:r>
              <w:t xml:space="preserve">Feed the Future Nigeria Rural Resilience</w:t>
            </w:r>
          </w:p>
        </w:tc>
        <w:tc>
          <w:tcPr/>
          <w:p>
            <w:pPr>
              <w:pStyle w:val="Compact"/>
              <w:jc w:val="left"/>
            </w:pPr>
            <w:r>
              <w:t xml:space="preserve">$8,025,150</w:t>
            </w:r>
          </w:p>
        </w:tc>
        <w:tc>
          <w:tcPr/>
          <w:p>
            <w:pPr>
              <w:pStyle w:val="Compact"/>
              <w:jc w:val="left"/>
            </w:pPr>
            <w:r>
              <w:t xml:space="preserve">$23,602,477</w:t>
            </w:r>
          </w:p>
        </w:tc>
        <w:tc>
          <w:tcPr/>
          <w:p>
            <w:pPr>
              <w:pStyle w:val="Compact"/>
              <w:jc w:val="left"/>
            </w:pPr>
            <w:r>
              <w:t xml:space="preserve">NA</w:t>
            </w:r>
          </w:p>
        </w:tc>
        <w:tc>
          <w:tcPr/>
          <w:p>
            <w:pPr>
              <w:pStyle w:val="Compact"/>
              <w:jc w:val="left"/>
            </w:pPr>
            <w:r>
              <w:t xml:space="preserve">$2,920,172</w:t>
            </w:r>
          </w:p>
        </w:tc>
      </w:tr>
      <w:tr>
        <w:tc>
          <w:tcPr/>
          <w:p>
            <w:pPr>
              <w:pStyle w:val="Compact"/>
              <w:jc w:val="left"/>
            </w:pPr>
            <w:r>
              <w:t xml:space="preserve">72062019CA00008</w:t>
            </w:r>
          </w:p>
        </w:tc>
        <w:tc>
          <w:tcPr/>
          <w:p>
            <w:pPr>
              <w:pStyle w:val="Compact"/>
              <w:jc w:val="right"/>
            </w:pPr>
            <w:r>
              <w:t xml:space="preserve">1424</w:t>
            </w:r>
          </w:p>
        </w:tc>
        <w:tc>
          <w:tcPr/>
          <w:p>
            <w:pPr>
              <w:pStyle w:val="Compact"/>
              <w:jc w:val="left"/>
            </w:pPr>
            <w:r>
              <w:t xml:space="preserve">Water for Agriculture</w:t>
            </w:r>
          </w:p>
        </w:tc>
        <w:tc>
          <w:tcPr/>
          <w:p>
            <w:pPr>
              <w:pStyle w:val="Compact"/>
              <w:jc w:val="left"/>
            </w:pPr>
            <w:r>
              <w:t xml:space="preserve">$313,300</w:t>
            </w:r>
          </w:p>
        </w:tc>
        <w:tc>
          <w:tcPr/>
          <w:p>
            <w:pPr>
              <w:pStyle w:val="Compact"/>
              <w:jc w:val="left"/>
            </w:pPr>
            <w:r>
              <w:t xml:space="preserve">$329,704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72062018IO00002</w:t>
            </w:r>
          </w:p>
        </w:tc>
        <w:tc>
          <w:tcPr/>
          <w:p>
            <w:pPr>
              <w:pStyle w:val="Compact"/>
              <w:jc w:val="right"/>
            </w:pPr>
            <w:r>
              <w:t xml:space="preserve">1410</w:t>
            </w:r>
          </w:p>
        </w:tc>
        <w:tc>
          <w:tcPr/>
          <w:p>
            <w:pPr>
              <w:pStyle w:val="Compact"/>
              <w:jc w:val="left"/>
            </w:pPr>
            <w:r>
              <w:t xml:space="preserve">Feed the Future Nigeria Integrated Agriculture</w:t>
            </w:r>
          </w:p>
        </w:tc>
        <w:tc>
          <w:tcPr/>
          <w:p>
            <w:pPr>
              <w:pStyle w:val="Compact"/>
              <w:jc w:val="left"/>
            </w:pPr>
            <w:r>
              <w:t xml:space="preserve">$2,410,335</w:t>
            </w:r>
          </w:p>
        </w:tc>
        <w:tc>
          <w:tcPr/>
          <w:p>
            <w:pPr>
              <w:pStyle w:val="Compact"/>
              <w:jc w:val="left"/>
            </w:pPr>
            <w:r>
              <w:t xml:space="preserve">$23,129</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Nigeria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Nigeria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achievement suggests a positive trend towards gender equality in financial inclusion, indicating that efforts to bridge the gap between men and women in accessing financial services have been successful. It implies that more women are gaining access to banking services, credit, savings, and other financial resources, which have wide range socio-economic benefits such as empowering women economically, promoting entrepreneurship and fostering economic growth. The strategy that has proven to be successful is the engagement with several financial and non-financial institutions to invest in input credit financing model which is increasing the number of clients accessing agricultural finance.</w:t>
      </w:r>
    </w:p>
    <w:bookmarkStart w:id="81" w:name="X156023fac7224e109c85ae323c6236f10a06fb3"/>
    <w:p>
      <w:pPr>
        <w:pStyle w:val="Heading4"/>
      </w:pPr>
      <w:r>
        <w:t xml:space="preserve">Enter USAID Nigeria (NIGERIA) Response Below:</w:t>
      </w:r>
    </w:p>
    <w:bookmarkEnd w:id="81"/>
    <w:bookmarkEnd w:id="82"/>
    <w:bookmarkStart w:id="84"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for hectares under climate adaptation and risk management practices was overachieved due to heightened awareness among farmers, extensive training programs, and the adoption of innovative agricultural techniques. Interventions such as demand stimulation campaigns, video-enabled extension, promotion of digital applications (like RiceAdvice App and Field Area Measure), input financing, biofertilizer demonstrations increased the total hectares under improved technologies and climate adaptation/climate risk management practices.</w:t>
      </w:r>
    </w:p>
    <w:bookmarkStart w:id="83" w:name="X9f9ce9a11cfb9188a58e60d7b2429d1c730e4fe"/>
    <w:p>
      <w:pPr>
        <w:pStyle w:val="Heading4"/>
      </w:pPr>
      <w:r>
        <w:t xml:space="preserve">Enter USAID Nigeria (NIGERIA)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Nigeria</dc:title>
  <dc:creator/>
  <cp:keywords/>
  <dcterms:created xsi:type="dcterms:W3CDTF">2024-05-19T18:10:55Z</dcterms:created>
  <dcterms:modified xsi:type="dcterms:W3CDTF">2024-05-19T18:10:55Z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