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Senegal</w:t>
      </w:r>
    </w:p>
    <w:p>
      <w:pPr>
        <w:pStyle w:val="FirstParagraph"/>
      </w:pPr>
      <w:r>
        <w:t xml:space="preserve">This Feed the Future (FTF) Performance Scorecard assesses the USAID Senegal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Senegal%20(SENEGAL)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Senegal%20(SENEGAL)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Senegal.</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Senegal%20(SENEGAL)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Senegal%20(SENEGAL)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Senegal had 8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$143,680,000.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Senegal%20(SENEGAL)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Senegal%20(SENEGAL)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Senegal had 2 IMs/Activities that reported all four sex disaggregates needed to contribute to PT2. The total value of financing among all activities, regardless of disaggregates, was $25,720,000 (EG.3.2-27 total), with $25,720,000 that was disaggregated by females and males, and an additional $3,670,000 to</w:t>
      </w:r>
      <w:r>
        <w:t xml:space="preserve"> </w:t>
      </w:r>
      <w:r>
        <w:t xml:space="preserve">‘</w:t>
      </w:r>
      <w:r>
        <w:t xml:space="preserve">mixed</w:t>
      </w:r>
      <w:r>
        <w:t xml:space="preserve">’</w:t>
      </w:r>
      <w:r>
        <w:t xml:space="preserve"> </w:t>
      </w:r>
      <w:r>
        <w:t xml:space="preserve">firms that have both males and females, and $10,640,000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Senegal%20(SENEGAL)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Senegal%20(SENEGAL)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Senegal had 19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Senegal%20(SENEGAL)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Senegal%20(SENEGAL)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Senegal had 4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4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Senegal%20(SENEGAL)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Senegal%20(SENEGAL)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Senegal was in 2022 and showed that 40% of women in the ZOI had access to a minimally-diverse diet. The FY30 target is 47% percent.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Senegal%20(SENEGAL)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Senegal%20(SENEGAL)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Senegal%20(SENEGAL)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Senegal (SENEGAL)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792"/>
        <w:gridCol w:w="693"/>
        <w:gridCol w:w="4702"/>
        <w:gridCol w:w="940"/>
        <w:gridCol w:w="198"/>
        <w:gridCol w:w="198"/>
        <w:gridCol w:w="198"/>
        <w:gridCol w:w="19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72068519CA00002</w:t>
            </w:r>
          </w:p>
        </w:tc>
        <w:tc>
          <w:tcPr/>
          <w:p>
            <w:pPr>
              <w:pStyle w:val="Compact"/>
              <w:jc w:val="right"/>
            </w:pPr>
            <w:r>
              <w:t xml:space="preserve">1670</w:t>
            </w:r>
          </w:p>
        </w:tc>
        <w:tc>
          <w:tcPr/>
          <w:p>
            <w:pPr>
              <w:pStyle w:val="Compact"/>
              <w:jc w:val="left"/>
            </w:pPr>
            <w:r>
              <w:t xml:space="preserve">Feed the Future Senegal Fisheries Biodiversity and Livelihoods (Dekkal Geej)</w:t>
            </w:r>
          </w:p>
        </w:tc>
        <w:tc>
          <w:tcPr/>
          <w:p>
            <w:pPr>
              <w:pStyle w:val="Compact"/>
              <w:jc w:val="left"/>
            </w:pPr>
            <w:r>
              <w:t xml:space="preserve">$1,417,877</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72062418IO00001</w:t>
            </w:r>
          </w:p>
        </w:tc>
        <w:tc>
          <w:tcPr/>
          <w:p>
            <w:pPr>
              <w:pStyle w:val="Compact"/>
              <w:jc w:val="right"/>
            </w:pPr>
            <w:r>
              <w:t xml:space="preserve">1669</w:t>
            </w:r>
          </w:p>
        </w:tc>
        <w:tc>
          <w:tcPr/>
          <w:p>
            <w:pPr>
              <w:pStyle w:val="Compact"/>
              <w:jc w:val="left"/>
            </w:pPr>
            <w:r>
              <w:t xml:space="preserve">FTF Senegal Dundël Suuf Fertilizer Project</w:t>
            </w:r>
          </w:p>
        </w:tc>
        <w:tc>
          <w:tcPr/>
          <w:p>
            <w:pPr>
              <w:pStyle w:val="Compact"/>
              <w:jc w:val="left"/>
            </w:pPr>
            <w:r>
              <w:t xml:space="preserve">$1,352,884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72068520C00001</w:t>
            </w:r>
          </w:p>
        </w:tc>
        <w:tc>
          <w:tcPr/>
          <w:p>
            <w:pPr>
              <w:pStyle w:val="Compact"/>
              <w:jc w:val="right"/>
            </w:pPr>
            <w:r>
              <w:t xml:space="preserve">2333</w:t>
            </w:r>
          </w:p>
        </w:tc>
        <w:tc>
          <w:tcPr/>
          <w:p>
            <w:pPr>
              <w:pStyle w:val="Compact"/>
              <w:jc w:val="left"/>
            </w:pPr>
            <w:r>
              <w:t xml:space="preserve">Nafoore Warsaaji (Commercializing Horticulture - Small Business Applied Research (SBAR) Pilot)</w:t>
            </w:r>
          </w:p>
        </w:tc>
        <w:tc>
          <w:tcPr/>
          <w:p>
            <w:pPr>
              <w:pStyle w:val="Compact"/>
              <w:jc w:val="left"/>
            </w:pPr>
            <w:r>
              <w:t xml:space="preserve">$684,018</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711"/>
        <w:gridCol w:w="622"/>
        <w:gridCol w:w="4226"/>
        <w:gridCol w:w="889"/>
        <w:gridCol w:w="533"/>
        <w:gridCol w:w="400"/>
        <w:gridCol w:w="53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72068519CA00002</w:t>
            </w:r>
          </w:p>
        </w:tc>
        <w:tc>
          <w:tcPr/>
          <w:p>
            <w:pPr>
              <w:pStyle w:val="Compact"/>
              <w:jc w:val="right"/>
            </w:pPr>
            <w:r>
              <w:t xml:space="preserve">1670</w:t>
            </w:r>
          </w:p>
        </w:tc>
        <w:tc>
          <w:tcPr/>
          <w:p>
            <w:pPr>
              <w:pStyle w:val="Compact"/>
              <w:jc w:val="left"/>
            </w:pPr>
            <w:r>
              <w:t xml:space="preserve">Feed the Future Senegal Fisheries Biodiversity and Livelihoods (Dekkal Geej)</w:t>
            </w:r>
          </w:p>
        </w:tc>
        <w:tc>
          <w:tcPr/>
          <w:p>
            <w:pPr>
              <w:pStyle w:val="Compact"/>
              <w:jc w:val="left"/>
            </w:pPr>
            <w:r>
              <w:t xml:space="preserve">$1,417,877</w:t>
            </w:r>
          </w:p>
        </w:tc>
        <w:tc>
          <w:tcPr/>
          <w:p>
            <w:pPr>
              <w:pStyle w:val="Compact"/>
              <w:jc w:val="left"/>
            </w:pPr>
            <w:r>
              <w:t xml:space="preserve">$85,100,000</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72068522C00009</w:t>
            </w:r>
          </w:p>
        </w:tc>
        <w:tc>
          <w:tcPr/>
          <w:p>
            <w:pPr>
              <w:pStyle w:val="Compact"/>
              <w:jc w:val="right"/>
            </w:pPr>
            <w:r>
              <w:t xml:space="preserve">5322</w:t>
            </w:r>
          </w:p>
        </w:tc>
        <w:tc>
          <w:tcPr/>
          <w:p>
            <w:pPr>
              <w:pStyle w:val="Compact"/>
              <w:jc w:val="left"/>
            </w:pPr>
            <w:r>
              <w:t xml:space="preserve">Feed the Future Senegal Value Chain Services Activity - Doolel Mbay</w:t>
            </w:r>
          </w:p>
        </w:tc>
        <w:tc>
          <w:tcPr/>
          <w:p>
            <w:pPr>
              <w:pStyle w:val="Compact"/>
              <w:jc w:val="left"/>
            </w:pPr>
            <w:r>
              <w:t xml:space="preserve">NA</w:t>
            </w:r>
          </w:p>
        </w:tc>
        <w:tc>
          <w:tcPr/>
          <w:p>
            <w:pPr>
              <w:pStyle w:val="Compact"/>
              <w:jc w:val="left"/>
            </w:pPr>
            <w:r>
              <w:t xml:space="preserve">$26,551,919</w:t>
            </w:r>
          </w:p>
        </w:tc>
        <w:tc>
          <w:tcPr/>
          <w:p>
            <w:pPr>
              <w:pStyle w:val="Compact"/>
              <w:jc w:val="left"/>
            </w:pPr>
            <w:r>
              <w:t xml:space="preserve">NA</w:t>
            </w:r>
          </w:p>
        </w:tc>
        <w:tc>
          <w:tcPr/>
          <w:p>
            <w:pPr>
              <w:pStyle w:val="Compact"/>
              <w:jc w:val="left"/>
            </w:pPr>
            <w:r>
              <w:t xml:space="preserve">$1,559,777</w:t>
            </w:r>
          </w:p>
        </w:tc>
      </w:tr>
      <w:tr>
        <w:tc>
          <w:tcPr/>
          <w:p>
            <w:pPr>
              <w:pStyle w:val="Compact"/>
              <w:jc w:val="left"/>
            </w:pPr>
            <w:r>
              <w:t xml:space="preserve">72062019C00003</w:t>
            </w:r>
          </w:p>
        </w:tc>
        <w:tc>
          <w:tcPr/>
          <w:p>
            <w:pPr>
              <w:pStyle w:val="Compact"/>
              <w:jc w:val="right"/>
            </w:pPr>
            <w:r>
              <w:t xml:space="preserve">2968</w:t>
            </w:r>
          </w:p>
        </w:tc>
        <w:tc>
          <w:tcPr/>
          <w:p>
            <w:pPr>
              <w:pStyle w:val="Compact"/>
              <w:jc w:val="left"/>
            </w:pPr>
            <w:r>
              <w:t xml:space="preserve">West Africa Trade and Investment Hub</w:t>
            </w:r>
          </w:p>
        </w:tc>
        <w:tc>
          <w:tcPr/>
          <w:p>
            <w:pPr>
              <w:pStyle w:val="Compact"/>
              <w:jc w:val="left"/>
            </w:pPr>
            <w:r>
              <w:t xml:space="preserve">$352,937</w:t>
            </w:r>
          </w:p>
        </w:tc>
        <w:tc>
          <w:tcPr/>
          <w:p>
            <w:pPr>
              <w:pStyle w:val="Compact"/>
              <w:jc w:val="left"/>
            </w:pPr>
            <w:r>
              <w:t xml:space="preserve">$22,994,545</w:t>
            </w:r>
          </w:p>
        </w:tc>
        <w:tc>
          <w:tcPr/>
          <w:p>
            <w:pPr>
              <w:pStyle w:val="Compact"/>
              <w:jc w:val="left"/>
            </w:pPr>
            <w:r>
              <w:t xml:space="preserve">NA</w:t>
            </w:r>
          </w:p>
        </w:tc>
        <w:tc>
          <w:tcPr/>
          <w:p>
            <w:pPr>
              <w:pStyle w:val="Compact"/>
              <w:jc w:val="left"/>
            </w:pPr>
            <w:r>
              <w:t xml:space="preserve">$22,376,476</w:t>
            </w:r>
          </w:p>
        </w:tc>
      </w:tr>
      <w:tr>
        <w:tc>
          <w:tcPr/>
          <w:p>
            <w:pPr>
              <w:pStyle w:val="Compact"/>
              <w:jc w:val="left"/>
            </w:pPr>
            <w:r>
              <w:t xml:space="preserve">72068520C00001</w:t>
            </w:r>
          </w:p>
        </w:tc>
        <w:tc>
          <w:tcPr/>
          <w:p>
            <w:pPr>
              <w:pStyle w:val="Compact"/>
              <w:jc w:val="right"/>
            </w:pPr>
            <w:r>
              <w:t xml:space="preserve">2333</w:t>
            </w:r>
          </w:p>
        </w:tc>
        <w:tc>
          <w:tcPr/>
          <w:p>
            <w:pPr>
              <w:pStyle w:val="Compact"/>
              <w:jc w:val="left"/>
            </w:pPr>
            <w:r>
              <w:t xml:space="preserve">Nafoore Warsaaji (Commercializing Horticulture - Small Business Applied Research (SBAR) Pilot)</w:t>
            </w:r>
          </w:p>
        </w:tc>
        <w:tc>
          <w:tcPr/>
          <w:p>
            <w:pPr>
              <w:pStyle w:val="Compact"/>
              <w:jc w:val="left"/>
            </w:pPr>
            <w:r>
              <w:t xml:space="preserve">$684,018</w:t>
            </w:r>
          </w:p>
        </w:tc>
        <w:tc>
          <w:tcPr/>
          <w:p>
            <w:pPr>
              <w:pStyle w:val="Compact"/>
              <w:jc w:val="left"/>
            </w:pPr>
            <w:r>
              <w:t xml:space="preserve">$8,977,403</w:t>
            </w:r>
          </w:p>
        </w:tc>
        <w:tc>
          <w:tcPr/>
          <w:p>
            <w:pPr>
              <w:pStyle w:val="Compact"/>
              <w:jc w:val="left"/>
            </w:pPr>
            <w:r>
              <w:t xml:space="preserve">NA</w:t>
            </w:r>
          </w:p>
        </w:tc>
        <w:tc>
          <w:tcPr/>
          <w:p>
            <w:pPr>
              <w:pStyle w:val="Compact"/>
              <w:jc w:val="left"/>
            </w:pPr>
            <w:r>
              <w:t xml:space="preserve">$11,499,234</w:t>
            </w:r>
          </w:p>
        </w:tc>
      </w:tr>
      <w:tr>
        <w:tc>
          <w:tcPr/>
          <w:p>
            <w:pPr>
              <w:pStyle w:val="Compact"/>
              <w:jc w:val="left"/>
            </w:pPr>
            <w:r>
              <w:t xml:space="preserve">72068518T00001</w:t>
            </w:r>
          </w:p>
        </w:tc>
        <w:tc>
          <w:tcPr/>
          <w:p>
            <w:pPr>
              <w:pStyle w:val="Compact"/>
              <w:jc w:val="right"/>
            </w:pPr>
            <w:r>
              <w:t xml:space="preserve">2347</w:t>
            </w:r>
          </w:p>
        </w:tc>
        <w:tc>
          <w:tcPr/>
          <w:p>
            <w:pPr>
              <w:pStyle w:val="Compact"/>
              <w:jc w:val="left"/>
            </w:pPr>
            <w:r>
              <w:t xml:space="preserve">Food Security Initiative (PAPA with Peace Corps)</w:t>
            </w:r>
          </w:p>
        </w:tc>
        <w:tc>
          <w:tcPr/>
          <w:p>
            <w:pPr>
              <w:pStyle w:val="Compact"/>
              <w:jc w:val="left"/>
            </w:pPr>
            <w:r>
              <w:t xml:space="preserve">$293,269</w:t>
            </w:r>
          </w:p>
        </w:tc>
        <w:tc>
          <w:tcPr/>
          <w:p>
            <w:pPr>
              <w:pStyle w:val="Compact"/>
              <w:jc w:val="left"/>
            </w:pPr>
            <w:r>
              <w:t xml:space="preserve">$58,452</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Senegal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Senegal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received $20,586,808 while women only accessed $5,131,609. However, only one activity disaggregated the data and the results showed that the value of finance accessed by females per dollar of finance accessed by males (derived from EG.3.2-27) is 0.25 versus a target of 1. This deviation is partly due to an unrealistic target particularly for male dominant value chains such as irrigated rice. The former value chain activity sex disaggregation of EG.3.2.27 in 2015 had a value of 0.11 (FTFMS archive for Naatal Mbay and PCE). Pivots/Adjustments to be taken: The FTF Senegal baseline for this Performance Goal Indicator is 0.12 and the FY 2030 target is 1. An annual progression of 0.11 is now set for next year’s targets. Performance related to this indicator will be driven by the coming nutrition Locally Led Development Annual Program Statement activities (replacing former Kawolor), Nafoore Warsaaji, and Dooleel Mbay. The focus of the new GFSS country strategy on women economic empowerment will contribute to improved progress.</w:t>
      </w:r>
    </w:p>
    <w:bookmarkStart w:id="81" w:name="X17aefeb7214314a37ce56a0e6ec6104d958f6d6"/>
    <w:p>
      <w:pPr>
        <w:pStyle w:val="Heading4"/>
      </w:pPr>
      <w:r>
        <w:t xml:space="preserve">Enter USAID Senegal (SENEGAL) Response Below:</w:t>
      </w:r>
    </w:p>
    <w:bookmarkEnd w:id="81"/>
    <w:bookmarkEnd w:id="82"/>
    <w:bookmarkStart w:id="84"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 </w:t>
      </w:r>
      <w:r>
        <w:t xml:space="preserve">target met (-2%) Deviation narrative : N/A Practices/Factors contributing to this performance : FY 2023 targets and performances were the results of three FTF activities: Dooleel Mbay, Nafoore Warsaaji and WATIH. Dooleel Mbay that represented 92 percent of the performance, supported adaptation and climate risk management for cereal and horticulture value chains by promoting drought, conservative agriculture, resistance seeds, access to climate information and to climate insurance. Nafoore Warsaaji also promoted climate insurance and facilitated the installation of 454 solar pumping kits, which reduced the high dependency on rainfall.</w:t>
      </w:r>
    </w:p>
    <w:bookmarkStart w:id="83" w:name="X9606e90b308a8bac860da52f6ab0c445a1acf9f"/>
    <w:p>
      <w:pPr>
        <w:pStyle w:val="Heading4"/>
      </w:pPr>
      <w:r>
        <w:t xml:space="preserve">Enter USAID Senegal (SENEGAL)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Senegal</dc:title>
  <dc:creator/>
  <cp:keywords/>
  <dcterms:created xsi:type="dcterms:W3CDTF">2024-05-19T18:11:16Z</dcterms:created>
  <dcterms:modified xsi:type="dcterms:W3CDTF">2024-05-19T18:11:16Z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