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Uganda</w:t>
      </w:r>
    </w:p>
    <w:p>
      <w:pPr>
        <w:pStyle w:val="FirstParagraph"/>
      </w:pPr>
      <w:r>
        <w:t xml:space="preserve">This Feed the Future (FTF) Performance Scorecard assesses the USAID Uganda progress toward FY 2030 Performance Targets.</w:t>
      </w:r>
    </w:p>
    <w:bookmarkStart w:id="83"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Uganda%20(UGAND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Uganda%20(UGAND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Uganda.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Uganda%20(UGAND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Uganda%20(UGAND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Uganda had 11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7 contributed to the sales total of $73,740,000.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Uganda%20(UGAND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Uganda%20(UGAND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Uganda had 2 IMs/Activities that reported all four sex disaggregates needed to contribute to PT2. The total value of financing among all activities, regardless of disaggregates, was $5,940,000 (EG.3.2-27 total), with $5,940,000 that was disaggregated by females and males, and an additional $5,680,000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Uganda%20(UGAND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Uganda%20(UGAND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Uganda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Uganda%20(UGAND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Uganda%20(UGAND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Uganda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Uganda%20(UGAND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Uganda%20(UGAND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Uganda was in 2019 and showed that 29% of women in the ZOI had access to a minimally-diverse diet. The FY30 target is 42% percent.The most recent PBS was in 2022, and it showed that the updated value is 0.471.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Uganda%20(UGAND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Uganda%20(UGAND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Uganda%20(UGAND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Uganda (UGANDA)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267"/>
        <w:gridCol w:w="1108"/>
        <w:gridCol w:w="2771"/>
        <w:gridCol w:w="1504"/>
        <w:gridCol w:w="316"/>
        <w:gridCol w:w="316"/>
        <w:gridCol w:w="316"/>
        <w:gridCol w:w="3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72061720CA00007</w:t>
            </w:r>
          </w:p>
        </w:tc>
        <w:tc>
          <w:tcPr/>
          <w:p>
            <w:pPr>
              <w:pStyle w:val="Compact"/>
              <w:jc w:val="right"/>
            </w:pPr>
            <w:r>
              <w:t xml:space="preserve">1233</w:t>
            </w:r>
          </w:p>
        </w:tc>
        <w:tc>
          <w:tcPr/>
          <w:p>
            <w:pPr>
              <w:pStyle w:val="Compact"/>
              <w:jc w:val="left"/>
            </w:pPr>
            <w:r>
              <w:t xml:space="preserve">Uganda Biodiversity for Resilience</w:t>
            </w:r>
          </w:p>
        </w:tc>
        <w:tc>
          <w:tcPr/>
          <w:p>
            <w:pPr>
              <w:pStyle w:val="Compact"/>
              <w:jc w:val="left"/>
            </w:pPr>
            <w:r>
              <w:t xml:space="preserve">$1,859,960</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107"/>
        <w:gridCol w:w="775"/>
        <w:gridCol w:w="3101"/>
        <w:gridCol w:w="1107"/>
        <w:gridCol w:w="664"/>
        <w:gridCol w:w="498"/>
        <w:gridCol w:w="66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72061721C00006</w:t>
            </w:r>
          </w:p>
        </w:tc>
        <w:tc>
          <w:tcPr/>
          <w:p>
            <w:pPr>
              <w:pStyle w:val="Compact"/>
              <w:jc w:val="right"/>
            </w:pPr>
            <w:r>
              <w:t xml:space="preserve">1260</w:t>
            </w:r>
          </w:p>
        </w:tc>
        <w:tc>
          <w:tcPr/>
          <w:p>
            <w:pPr>
              <w:pStyle w:val="Compact"/>
              <w:jc w:val="left"/>
            </w:pPr>
            <w:r>
              <w:t xml:space="preserve">108835: Uganda Strategic Investment Activity</w:t>
            </w:r>
          </w:p>
        </w:tc>
        <w:tc>
          <w:tcPr/>
          <w:p>
            <w:pPr>
              <w:pStyle w:val="Compact"/>
              <w:jc w:val="left"/>
            </w:pPr>
            <w:r>
              <w:t xml:space="preserve">NA</w:t>
            </w:r>
          </w:p>
        </w:tc>
        <w:tc>
          <w:tcPr/>
          <w:p>
            <w:pPr>
              <w:pStyle w:val="Compact"/>
              <w:jc w:val="left"/>
            </w:pPr>
            <w:r>
              <w:t xml:space="preserve">$53,073,161</w:t>
            </w:r>
          </w:p>
        </w:tc>
        <w:tc>
          <w:tcPr/>
          <w:p>
            <w:pPr>
              <w:pStyle w:val="Compact"/>
              <w:jc w:val="left"/>
            </w:pPr>
            <w:r>
              <w:t xml:space="preserve">NA</w:t>
            </w:r>
          </w:p>
        </w:tc>
        <w:tc>
          <w:tcPr/>
          <w:p>
            <w:pPr>
              <w:pStyle w:val="Compact"/>
              <w:jc w:val="left"/>
            </w:pPr>
            <w:r>
              <w:t xml:space="preserve">$4,883,956</w:t>
            </w:r>
          </w:p>
        </w:tc>
      </w:tr>
      <w:tr>
        <w:tc>
          <w:tcPr/>
          <w:p>
            <w:pPr>
              <w:pStyle w:val="Compact"/>
              <w:jc w:val="left"/>
            </w:pPr>
            <w:r>
              <w:t xml:space="preserve">72061719C00007</w:t>
            </w:r>
          </w:p>
        </w:tc>
        <w:tc>
          <w:tcPr/>
          <w:p>
            <w:pPr>
              <w:pStyle w:val="Compact"/>
              <w:jc w:val="right"/>
            </w:pPr>
            <w:r>
              <w:t xml:space="preserve">2261</w:t>
            </w:r>
          </w:p>
        </w:tc>
        <w:tc>
          <w:tcPr/>
          <w:p>
            <w:pPr>
              <w:pStyle w:val="Compact"/>
              <w:jc w:val="left"/>
            </w:pPr>
            <w:r>
              <w:t xml:space="preserve">Feed the Future Inclusive Agricultural Markets Activity</w:t>
            </w:r>
          </w:p>
        </w:tc>
        <w:tc>
          <w:tcPr/>
          <w:p>
            <w:pPr>
              <w:pStyle w:val="Compact"/>
              <w:jc w:val="left"/>
            </w:pPr>
            <w:r>
              <w:t xml:space="preserve">-$330</w:t>
            </w:r>
          </w:p>
        </w:tc>
        <w:tc>
          <w:tcPr/>
          <w:p>
            <w:pPr>
              <w:pStyle w:val="Compact"/>
              <w:jc w:val="left"/>
            </w:pPr>
            <w:r>
              <w:t xml:space="preserve">$11,270,397</w:t>
            </w:r>
          </w:p>
        </w:tc>
        <w:tc>
          <w:tcPr/>
          <w:p>
            <w:pPr>
              <w:pStyle w:val="Compact"/>
              <w:jc w:val="left"/>
            </w:pPr>
            <w:r>
              <w:t xml:space="preserve">NA</w:t>
            </w:r>
          </w:p>
        </w:tc>
        <w:tc>
          <w:tcPr/>
          <w:p>
            <w:pPr>
              <w:pStyle w:val="Compact"/>
              <w:jc w:val="left"/>
            </w:pPr>
            <w:r>
              <w:t xml:space="preserve">$13,693,897</w:t>
            </w:r>
          </w:p>
        </w:tc>
      </w:tr>
      <w:tr>
        <w:tc>
          <w:tcPr/>
          <w:p>
            <w:pPr>
              <w:pStyle w:val="Compact"/>
              <w:jc w:val="left"/>
            </w:pPr>
            <w:r>
              <w:t xml:space="preserve">AID-BFS-IO-17-00005</w:t>
            </w:r>
          </w:p>
        </w:tc>
        <w:tc>
          <w:tcPr/>
          <w:p>
            <w:pPr>
              <w:pStyle w:val="Compact"/>
              <w:jc w:val="right"/>
            </w:pPr>
            <w:r>
              <w:t xml:space="preserve">2260</w:t>
            </w:r>
          </w:p>
        </w:tc>
        <w:tc>
          <w:tcPr/>
          <w:p>
            <w:pPr>
              <w:pStyle w:val="Compact"/>
              <w:jc w:val="left"/>
            </w:pPr>
            <w:r>
              <w:t xml:space="preserve">Feed the Future Uganda NARO Activity</w:t>
            </w:r>
          </w:p>
        </w:tc>
        <w:tc>
          <w:tcPr/>
          <w:p>
            <w:pPr>
              <w:pStyle w:val="Compact"/>
              <w:jc w:val="left"/>
            </w:pPr>
            <w:r>
              <w:t xml:space="preserve">NA</w:t>
            </w:r>
          </w:p>
        </w:tc>
        <w:tc>
          <w:tcPr/>
          <w:p>
            <w:pPr>
              <w:pStyle w:val="Compact"/>
              <w:jc w:val="left"/>
            </w:pPr>
            <w:r>
              <w:t xml:space="preserve">$7,465,656</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6005</w:t>
            </w:r>
          </w:p>
        </w:tc>
        <w:tc>
          <w:tcPr/>
          <w:p>
            <w:pPr>
              <w:pStyle w:val="Compact"/>
              <w:jc w:val="left"/>
            </w:pPr>
            <w:r>
              <w:t xml:space="preserve">Africa Trade and Investment</w:t>
            </w:r>
          </w:p>
        </w:tc>
        <w:tc>
          <w:tcPr/>
          <w:p>
            <w:pPr>
              <w:pStyle w:val="Compact"/>
              <w:jc w:val="left"/>
            </w:pPr>
            <w:r>
              <w:t xml:space="preserve">NA</w:t>
            </w:r>
          </w:p>
        </w:tc>
        <w:tc>
          <w:tcPr/>
          <w:p>
            <w:pPr>
              <w:pStyle w:val="Compact"/>
              <w:jc w:val="left"/>
            </w:pPr>
            <w:r>
              <w:t xml:space="preserve">$1,198,503</w:t>
            </w:r>
          </w:p>
        </w:tc>
        <w:tc>
          <w:tcPr/>
          <w:p>
            <w:pPr>
              <w:pStyle w:val="Compact"/>
              <w:jc w:val="left"/>
            </w:pPr>
            <w:r>
              <w:t xml:space="preserve">NA</w:t>
            </w:r>
          </w:p>
        </w:tc>
        <w:tc>
          <w:tcPr/>
          <w:p>
            <w:pPr>
              <w:pStyle w:val="Compact"/>
              <w:jc w:val="left"/>
            </w:pPr>
            <w:r>
              <w:t xml:space="preserve">$636,500</w:t>
            </w:r>
          </w:p>
        </w:tc>
      </w:tr>
      <w:tr>
        <w:tc>
          <w:tcPr/>
          <w:p>
            <w:pPr>
              <w:pStyle w:val="Compact"/>
              <w:jc w:val="left"/>
            </w:pPr>
            <w:r>
              <w:t xml:space="preserve">72061720IO00001</w:t>
            </w:r>
          </w:p>
        </w:tc>
        <w:tc>
          <w:tcPr/>
          <w:p>
            <w:pPr>
              <w:pStyle w:val="Compact"/>
              <w:jc w:val="right"/>
            </w:pPr>
            <w:r>
              <w:t xml:space="preserve">2257</w:t>
            </w:r>
          </w:p>
        </w:tc>
        <w:tc>
          <w:tcPr/>
          <w:p>
            <w:pPr>
              <w:pStyle w:val="Compact"/>
              <w:jc w:val="left"/>
            </w:pPr>
            <w:r>
              <w:t xml:space="preserve">Agriculture and Market Support Program</w:t>
            </w:r>
          </w:p>
        </w:tc>
        <w:tc>
          <w:tcPr/>
          <w:p>
            <w:pPr>
              <w:pStyle w:val="Compact"/>
              <w:jc w:val="left"/>
            </w:pPr>
            <w:r>
              <w:t xml:space="preserve">NA</w:t>
            </w:r>
          </w:p>
        </w:tc>
        <w:tc>
          <w:tcPr/>
          <w:p>
            <w:pPr>
              <w:pStyle w:val="Compact"/>
              <w:jc w:val="left"/>
            </w:pPr>
            <w:r>
              <w:t xml:space="preserve">$461,426</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Uganda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Uganda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business advisory and investment readiness technical supports to firms will reduce the time banks require to conduct due diligence on loan applicants and disburse funds on time. This will increase finance accessed for both men and women to bridge the gap. The other strategy is to target women-owned businesses as the beneficiaries. However, the target for women vs men receiving financing was not set for the outyears, the value of agriculture related financing to be leveraged in future years is higher than in FY 2023 and is going to improve the current performance.</w:t>
      </w:r>
    </w:p>
    <w:bookmarkStart w:id="81" w:name="enter-usaid-uganda-uganda-response-below"/>
    <w:p>
      <w:pPr>
        <w:pStyle w:val="Heading4"/>
      </w:pPr>
      <w:r>
        <w:t xml:space="preserve">Enter USAID Uganda (UGANDA) Response Below:</w:t>
      </w:r>
    </w:p>
    <w:bookmarkEnd w:id="81"/>
    <w:bookmarkEnd w:id="82"/>
    <w:bookmarkEnd w:id="83"/>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Uganda</dc:title>
  <dc:creator/>
  <cp:keywords/>
  <dcterms:created xsi:type="dcterms:W3CDTF">2024-05-19T18:28:29Z</dcterms:created>
  <dcterms:modified xsi:type="dcterms:W3CDTF">2024-05-19T18:28:29Z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