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Zambia</w:t>
      </w:r>
    </w:p>
    <w:p>
      <w:pPr>
        <w:pStyle w:val="FirstParagraph"/>
      </w:pPr>
      <w:r>
        <w:t xml:space="preserve">This Feed the Future (FTF) Performance Scorecard assesses the USAID Zambia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Zambia%20(ZAMB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Zambia%20(ZAMB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Zambia.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Zambia%20(ZAMB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Zambia%20(ZAMB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Zambia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$57,460,000.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Zambia%20(ZAMB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Zambia%20(ZAMB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Zambia had 2 IMs/Activities that reported all four sex disaggregates needed to contribute to PT2. The total value of financing among all activities, regardless of disaggregates, was $5,780,000 (EG.3.2-27 total), with $5,780,000 that was disaggregated by females and males, and an additional $5,810,000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Zambia%20(ZAMB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Zambia%20(ZAMB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Zambia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Zambia%20(ZAMB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Zambia%20(ZAMB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Zambia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Zambia%20(ZAMB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Zambia%20(ZAMB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Zambia.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Zambia%20(ZAMB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Zambia%20(ZAMBI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Zambia%20(ZAMBI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Zambia (ZAMBIA)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688"/>
        <w:gridCol w:w="602"/>
        <w:gridCol w:w="5122"/>
        <w:gridCol w:w="817"/>
        <w:gridCol w:w="172"/>
        <w:gridCol w:w="172"/>
        <w:gridCol w:w="172"/>
        <w:gridCol w:w="17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72061120C00006</w:t>
            </w:r>
          </w:p>
        </w:tc>
        <w:tc>
          <w:tcPr/>
          <w:p>
            <w:pPr>
              <w:pStyle w:val="Compact"/>
              <w:jc w:val="right"/>
            </w:pPr>
            <w:r>
              <w:t xml:space="preserve">1713</w:t>
            </w:r>
          </w:p>
        </w:tc>
        <w:tc>
          <w:tcPr/>
          <w:p>
            <w:pPr>
              <w:pStyle w:val="Compact"/>
              <w:jc w:val="left"/>
            </w:pPr>
            <w:r>
              <w:t xml:space="preserve">USAID Enterprise Development Growth Enhanced (EDGE)</w:t>
            </w:r>
          </w:p>
        </w:tc>
        <w:tc>
          <w:tcPr/>
          <w:p>
            <w:pPr>
              <w:pStyle w:val="Compact"/>
              <w:jc w:val="left"/>
            </w:pPr>
            <w:r>
              <w:t xml:space="preserve">$3,145,251</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72061121CA00003</w:t>
            </w:r>
          </w:p>
        </w:tc>
        <w:tc>
          <w:tcPr/>
          <w:p>
            <w:pPr>
              <w:pStyle w:val="Compact"/>
              <w:jc w:val="right"/>
            </w:pPr>
            <w:r>
              <w:t xml:space="preserve">1710</w:t>
            </w:r>
          </w:p>
        </w:tc>
        <w:tc>
          <w:tcPr/>
          <w:p>
            <w:pPr>
              <w:pStyle w:val="Compact"/>
              <w:jc w:val="left"/>
            </w:pPr>
            <w:r>
              <w:t xml:space="preserve">106661: Eastern Kafue Nature Alliance - Health, Ecosystems, and Agriculture for Resilient, Thriving Societies (HEARTH)</w:t>
            </w:r>
          </w:p>
        </w:tc>
        <w:tc>
          <w:tcPr/>
          <w:p>
            <w:pPr>
              <w:pStyle w:val="Compact"/>
              <w:jc w:val="left"/>
            </w:pPr>
            <w:r>
              <w:t xml:space="preserve">$550,973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630"/>
        <w:gridCol w:w="551"/>
        <w:gridCol w:w="4688"/>
        <w:gridCol w:w="788"/>
        <w:gridCol w:w="472"/>
        <w:gridCol w:w="354"/>
        <w:gridCol w:w="43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72061120C00006</w:t>
            </w:r>
          </w:p>
        </w:tc>
        <w:tc>
          <w:tcPr/>
          <w:p>
            <w:pPr>
              <w:pStyle w:val="Compact"/>
              <w:jc w:val="right"/>
            </w:pPr>
            <w:r>
              <w:t xml:space="preserve">1713</w:t>
            </w:r>
          </w:p>
        </w:tc>
        <w:tc>
          <w:tcPr/>
          <w:p>
            <w:pPr>
              <w:pStyle w:val="Compact"/>
              <w:jc w:val="left"/>
            </w:pPr>
            <w:r>
              <w:t xml:space="preserve">USAID Enterprise Development Growth Enhanced (EDGE)</w:t>
            </w:r>
          </w:p>
        </w:tc>
        <w:tc>
          <w:tcPr/>
          <w:p>
            <w:pPr>
              <w:pStyle w:val="Compact"/>
              <w:jc w:val="left"/>
            </w:pPr>
            <w:r>
              <w:t xml:space="preserve">$3,145,251</w:t>
            </w:r>
          </w:p>
        </w:tc>
        <w:tc>
          <w:tcPr/>
          <w:p>
            <w:pPr>
              <w:pStyle w:val="Compact"/>
              <w:jc w:val="left"/>
            </w:pPr>
            <w:r>
              <w:t xml:space="preserve">$45,140,447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2425</w:t>
            </w:r>
          </w:p>
        </w:tc>
        <w:tc>
          <w:tcPr/>
          <w:p>
            <w:pPr>
              <w:pStyle w:val="Compact"/>
              <w:jc w:val="left"/>
            </w:pPr>
            <w:r>
              <w:t xml:space="preserve">Alliance for Inclusive and Nutritious Food Processing (AINFP) -Zambia Buy in</w:t>
            </w:r>
          </w:p>
        </w:tc>
        <w:tc>
          <w:tcPr/>
          <w:p>
            <w:pPr>
              <w:pStyle w:val="Compact"/>
              <w:jc w:val="left"/>
            </w:pPr>
            <w:r>
              <w:t xml:space="preserve">$161,431</w:t>
            </w:r>
          </w:p>
        </w:tc>
        <w:tc>
          <w:tcPr/>
          <w:p>
            <w:pPr>
              <w:pStyle w:val="Compact"/>
              <w:jc w:val="left"/>
            </w:pPr>
            <w:r>
              <w:t xml:space="preserve">$12,317,709</w:t>
            </w:r>
          </w:p>
        </w:tc>
        <w:tc>
          <w:tcPr/>
          <w:p>
            <w:pPr>
              <w:pStyle w:val="Compact"/>
              <w:jc w:val="left"/>
            </w:pPr>
            <w:r>
              <w:t xml:space="preserve">NA</w:t>
            </w:r>
          </w:p>
        </w:tc>
        <w:tc>
          <w:tcPr/>
          <w:p>
            <w:pPr>
              <w:pStyle w:val="Compact"/>
              <w:jc w:val="left"/>
            </w:pPr>
            <w:r>
              <w:t xml:space="preserve">$1,380,865</w:t>
            </w:r>
          </w:p>
        </w:tc>
      </w:tr>
      <w:tr>
        <w:tc>
          <w:tcPr/>
          <w:p>
            <w:pPr>
              <w:pStyle w:val="Compact"/>
              <w:jc w:val="left"/>
            </w:pPr>
            <w:r>
              <w:t xml:space="preserve">NA</w:t>
            </w:r>
          </w:p>
        </w:tc>
        <w:tc>
          <w:tcPr/>
          <w:p>
            <w:pPr>
              <w:pStyle w:val="Compact"/>
              <w:jc w:val="right"/>
            </w:pPr>
            <w:r>
              <w:t xml:space="preserve">5560</w:t>
            </w:r>
          </w:p>
        </w:tc>
        <w:tc>
          <w:tcPr/>
          <w:p>
            <w:pPr>
              <w:pStyle w:val="Compact"/>
              <w:jc w:val="left"/>
            </w:pPr>
            <w:r>
              <w:t xml:space="preserve">Luangwa Livelihood and Conservation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2 480</w:t>
            </w:r>
          </w:p>
        </w:tc>
        <w:tc>
          <w:tcPr/>
          <w:p>
            <w:pPr>
              <w:pStyle w:val="Compact"/>
              <w:jc w:val="left"/>
            </w:pPr>
            <w:r>
              <w:t xml:space="preserve">NA</w:t>
            </w:r>
          </w:p>
        </w:tc>
      </w:tr>
      <w:tr>
        <w:tc>
          <w:tcPr/>
          <w:p>
            <w:pPr>
              <w:pStyle w:val="Compact"/>
              <w:jc w:val="left"/>
            </w:pPr>
            <w:r>
              <w:t xml:space="preserve">72061119C00002</w:t>
            </w:r>
          </w:p>
        </w:tc>
        <w:tc>
          <w:tcPr/>
          <w:p>
            <w:pPr>
              <w:pStyle w:val="Compact"/>
              <w:jc w:val="right"/>
            </w:pPr>
            <w:r>
              <w:t xml:space="preserve">2400</w:t>
            </w:r>
          </w:p>
        </w:tc>
        <w:tc>
          <w:tcPr/>
          <w:p>
            <w:pPr>
              <w:pStyle w:val="Compact"/>
              <w:jc w:val="left"/>
            </w:pPr>
            <w:r>
              <w:t xml:space="preserve">Scaling Up Nutrition Technical Assistance</w:t>
            </w:r>
          </w:p>
        </w:tc>
        <w:tc>
          <w:tcPr/>
          <w:p>
            <w:pPr>
              <w:pStyle w:val="Compact"/>
              <w:jc w:val="left"/>
            </w:pPr>
            <w:r>
              <w:t xml:space="preserve">$353,780</w:t>
            </w:r>
          </w:p>
        </w:tc>
        <w:tc>
          <w:tcPr/>
          <w:p>
            <w:pPr>
              <w:pStyle w:val="Compact"/>
              <w:jc w:val="left"/>
            </w:pPr>
            <w:r>
              <w:t xml:space="preserve">NA</w:t>
            </w:r>
          </w:p>
        </w:tc>
        <w:tc>
          <w:tcPr/>
          <w:p>
            <w:pPr>
              <w:pStyle w:val="Compact"/>
              <w:jc w:val="left"/>
            </w:pPr>
            <w:r>
              <w:t xml:space="preserve">1 964</w:t>
            </w:r>
          </w:p>
        </w:tc>
        <w:tc>
          <w:tcPr/>
          <w:p>
            <w:pPr>
              <w:pStyle w:val="Compact"/>
              <w:jc w:val="left"/>
            </w:pPr>
            <w:r>
              <w:t xml:space="preserve">NA</w:t>
            </w:r>
          </w:p>
        </w:tc>
      </w:tr>
      <w:tr>
        <w:tc>
          <w:tcPr/>
          <w:p>
            <w:pPr>
              <w:pStyle w:val="Compact"/>
              <w:jc w:val="left"/>
            </w:pPr>
            <w:r>
              <w:t xml:space="preserve">72061120CA00004</w:t>
            </w:r>
          </w:p>
        </w:tc>
        <w:tc>
          <w:tcPr/>
          <w:p>
            <w:pPr>
              <w:pStyle w:val="Compact"/>
              <w:jc w:val="right"/>
            </w:pPr>
            <w:r>
              <w:t xml:space="preserve">1707</w:t>
            </w:r>
          </w:p>
        </w:tc>
        <w:tc>
          <w:tcPr/>
          <w:p>
            <w:pPr>
              <w:pStyle w:val="Compact"/>
              <w:jc w:val="left"/>
            </w:pPr>
            <w:r>
              <w:t xml:space="preserve">Emerging Farmers Partnership (EFP)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72061121CA00003</w:t>
            </w:r>
          </w:p>
        </w:tc>
        <w:tc>
          <w:tcPr/>
          <w:p>
            <w:pPr>
              <w:pStyle w:val="Compact"/>
              <w:jc w:val="right"/>
            </w:pPr>
            <w:r>
              <w:t xml:space="preserve">1710</w:t>
            </w:r>
          </w:p>
        </w:tc>
        <w:tc>
          <w:tcPr/>
          <w:p>
            <w:pPr>
              <w:pStyle w:val="Compact"/>
              <w:jc w:val="left"/>
            </w:pPr>
            <w:r>
              <w:t xml:space="preserve">106661: Eastern Kafue Nature Alliance - Health, Ecosystems, and Agriculture for Resilient, Thriving Societies (HEARTH)</w:t>
            </w:r>
          </w:p>
        </w:tc>
        <w:tc>
          <w:tcPr/>
          <w:p>
            <w:pPr>
              <w:pStyle w:val="Compact"/>
              <w:jc w:val="left"/>
            </w:pPr>
            <w:r>
              <w:t xml:space="preserve">$550,973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Zambia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Zambia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target was unmet in Fiscal Year 2023. Despite many successes in increasing access to finance through support to Community Savings and Loans Groups (CSLGs) and SMEs, women still lag behind men in access to finance as larger loans to men-owned businesses overtook many of the small loans that women received through CSLGs. Women still face many difficulties in accessing loans from larger financial institutions, including lack the skills to financially manage businesses and low access to productive assets that can be used for loan collateral. This year, women slightly underperformed men ($0.98 per $1.00 loaned, compared to $) despite the met goal of almost 25% more loans to women, as compared to men this year. Through USAID-supported CSLGs, more than 80% of the over 86 thousand participants are women, but loan amounts were small, negatively affecting this indicator. USAID-supported women’s savings groups in Eastern Province were linked to the Farmers Out-grower Foundation, helping to expand the reach and formalization of investments by CSLGs. Through this partnership, women’s savings groups are assured of ready supply of inputs for production as well as markets for the final product, which has been one of the biggest challenges that SMEs face (especially women from rural areas). USAID also supported more formal out-grower schemes this year by connecting CLGSs with a private sector partner that supplied training, fertilizer, and seeds, and a guaranteed market for their produce. Even with these efforts and successes, challenges remain in providing more loans to women, and USAID/Zambia’s loan support programming must adapt to address this challenge. Over the next two Fiscal Years, USAID Zambia expects a reduction in the loan partly due to the closure of two programs that support finance. Successful loans under the CSLGs (which strongly favors female borrowers) will be reduced as FtF Zambia closes the program that supported this effort. A new bilateral program will provide support to CSLGs in the new FtF ZOI, but the award will not start until August 2024. As such, success on this target for the next two fiscal years will be reduced in gender parity to closer to 1:1.</w:t>
      </w:r>
    </w:p>
    <w:bookmarkStart w:id="81" w:name="enter-usaid-zambia-zambia-response-below"/>
    <w:p>
      <w:pPr>
        <w:pStyle w:val="Heading4"/>
      </w:pPr>
      <w:r>
        <w:t xml:space="preserve">Enter USAID Zambia (ZAMBIA) Response Below:</w:t>
      </w:r>
    </w:p>
    <w:bookmarkEnd w:id="81"/>
    <w:bookmarkEnd w:id="82"/>
    <w:bookmarkStart w:id="84"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Zambia’s FtF program exceeded the target for land under improved climate adaptation and risk management practices, through growth of programming with private companies, including support to increase the number of smallholder farmers, and expansion of climate smart agricultural practices and value chains. Two USAID conservation-oriented activities contributed to achieving success this year. Increased investment in climate-friendly honey, cowpea, groundnuts, soybeans value chains (among others) helped to increase soil fertility and increase production. Support for agroforestry production systems helped to create a sustainable, productive landscape that met several conservation and livelihood goals by connecting fragmented forests and creating corridors for wildlife movement. Support to lead and follower farmers programs also led to increased production of nutritious food in vulnerable communities this year. An increased area under improved management fulfills multiple productive goals, improves livelihoods and helps to maintain the integrity of iconic Zambian landscapes. Growing partnerships with the private sector was key this year to this success. The development of new partnerships with private sector-run outgrower schemes helped contribute to higher areas of land under conservation agriculture than anticipated as new projects hit a two year milestone. As new work continues under these programs and new ones come online in Fiscal Year 2024, we expect a moderate level of performance on this indicator, roughly in line with the 2023 FY target. New partnerships were very successful in achieving this target this year, but we do not expect similar results over the next two years.</w:t>
      </w:r>
    </w:p>
    <w:bookmarkStart w:id="83" w:name="X0609e9ed8914b0820765c8fba745ead53b70244"/>
    <w:p>
      <w:pPr>
        <w:pStyle w:val="Heading4"/>
      </w:pPr>
      <w:r>
        <w:t xml:space="preserve">Enter USAID Zambia (ZAMBIA)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Zambia</dc:title>
  <dc:creator/>
  <cp:keywords/>
  <dcterms:created xsi:type="dcterms:W3CDTF">2024-05-19T18:28:38Z</dcterms:created>
  <dcterms:modified xsi:type="dcterms:W3CDTF">2024-05-19T18:28:38Z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