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AAC6" w14:textId="6105598C" w:rsidR="009B2504" w:rsidRPr="005E24B4" w:rsidRDefault="00000000" w:rsidP="005E24B4">
      <w:pPr>
        <w:pStyle w:val="Title"/>
      </w:pPr>
      <w:r w:rsidRPr="005E24B4">
        <w:t>USAID Bangladesh Country Scorecard</w:t>
      </w:r>
    </w:p>
    <w:p w14:paraId="465D2800" w14:textId="77777777" w:rsidR="009B2504" w:rsidRPr="004F72B0" w:rsidRDefault="00000000" w:rsidP="004F72B0">
      <w:pPr>
        <w:pStyle w:val="Author"/>
      </w:pPr>
      <w:r w:rsidRPr="004F72B0">
        <w:t>FTF-PAE/ADL</w:t>
      </w:r>
    </w:p>
    <w:p w14:paraId="7ED45912" w14:textId="77777777" w:rsidR="009B2504" w:rsidRPr="004F72B0" w:rsidRDefault="00000000" w:rsidP="004F72B0">
      <w:pPr>
        <w:pStyle w:val="Date"/>
      </w:pPr>
      <w:r w:rsidRPr="004F72B0">
        <w:t xml:space="preserve">Date generated: </w:t>
      </w:r>
      <w:proofErr w:type="gramStart"/>
      <w:r w:rsidRPr="004F72B0">
        <w:t>2024-04-02</w:t>
      </w:r>
      <w:proofErr w:type="gramEnd"/>
    </w:p>
    <w:p w14:paraId="3369F5E9" w14:textId="776E870E" w:rsidR="009B2504" w:rsidRPr="00B81B1C" w:rsidRDefault="00000000" w:rsidP="005E246B">
      <w:pPr>
        <w:pStyle w:val="Heading1"/>
      </w:pPr>
      <w:bookmarkStart w:id="0" w:name="performance-on-priority-targets"/>
      <w:r w:rsidRPr="00B81B1C">
        <w:t>Performance</w:t>
      </w:r>
      <w:r w:rsidR="001A6149">
        <w:t xml:space="preserve"> </w:t>
      </w:r>
      <w:r w:rsidRPr="00B81B1C">
        <w:t>targets</w:t>
      </w:r>
    </w:p>
    <w:p w14:paraId="3197EFE4" w14:textId="77777777" w:rsidR="008A113B" w:rsidRDefault="008A113B" w:rsidP="00EE0252">
      <w:pPr>
        <w:pStyle w:val="FirstParagraph"/>
      </w:pPr>
      <w:r w:rsidRPr="00D15A4A">
        <w:t xml:space="preserve">This is an R Markdown document. Markdown is a simple formatting syntax for authoring HTML, PDF, and MS Word documents. For more details on using R Markdown see </w:t>
      </w:r>
      <w:hyperlink r:id="rId7">
        <w:r w:rsidRPr="00D15A4A">
          <w:rPr>
            <w:rStyle w:val="Hyperlink"/>
            <w:color w:val="auto"/>
          </w:rPr>
          <w:t>http://rmarkdown.rstudio.com</w:t>
        </w:r>
      </w:hyperlink>
      <w:r w:rsidRPr="00D15A4A">
        <w:t>.</w:t>
      </w:r>
    </w:p>
    <w:p w14:paraId="51B4F173" w14:textId="77777777" w:rsidR="00EE0252" w:rsidRDefault="00EE0252" w:rsidP="00EE0252">
      <w:pPr>
        <w:pStyle w:val="BodyText"/>
      </w:pPr>
    </w:p>
    <w:p w14:paraId="773FC3CD" w14:textId="7E672122" w:rsidR="00EE0252" w:rsidRPr="00EE0252" w:rsidRDefault="00EE0252" w:rsidP="00EE0252">
      <w:pPr>
        <w:pStyle w:val="BodyText"/>
      </w:pPr>
      <w:r w:rsidRPr="00EE0252">
        <w:t>This is a normal paragraph.</w:t>
      </w:r>
    </w:p>
    <w:p w14:paraId="0D26B32A" w14:textId="77777777" w:rsidR="00550954" w:rsidRDefault="00550954" w:rsidP="00EE0252">
      <w:pPr>
        <w:pStyle w:val="BodyText"/>
      </w:pPr>
    </w:p>
    <w:p w14:paraId="3466D951" w14:textId="52CF6068" w:rsidR="00550954" w:rsidRPr="00B91B6F" w:rsidRDefault="00550954" w:rsidP="005E246B">
      <w:pPr>
        <w:pStyle w:val="Heading2"/>
      </w:pPr>
      <w:r w:rsidRPr="005E246B">
        <w:t>Heading</w:t>
      </w:r>
      <w:r w:rsidRPr="00B91B6F">
        <w:t xml:space="preserve"> 2</w:t>
      </w:r>
    </w:p>
    <w:p w14:paraId="1A0704A8" w14:textId="77777777" w:rsidR="0059508C" w:rsidRDefault="0059508C" w:rsidP="0059508C"/>
    <w:p w14:paraId="0188A18F" w14:textId="365C3200" w:rsidR="00A563E9" w:rsidRPr="00A563E9" w:rsidRDefault="00A563E9" w:rsidP="005E246B">
      <w:pPr>
        <w:pStyle w:val="Heading6"/>
      </w:pPr>
      <w:r w:rsidRPr="00A563E9">
        <w:lastRenderedPageBreak/>
        <w:t>Heading 6</w:t>
      </w:r>
    </w:p>
    <w:p w14:paraId="3DB04377" w14:textId="77777777" w:rsidR="00A563E9" w:rsidRDefault="00A563E9" w:rsidP="0059508C"/>
    <w:p w14:paraId="69D11FD3" w14:textId="77777777" w:rsidR="001D6993" w:rsidRDefault="001D6993" w:rsidP="001D6993">
      <w:pPr>
        <w:pStyle w:val="FirstParagraph"/>
      </w:pPr>
      <w:r>
        <w:t xml:space="preserve">This section provides space for Afghanistan to provide an explanation of why the following PTs are not on track and how you could adjust to be on track in the coming year(s). To help in your response(s), the relevant section of the FTF/GFS Key Issue Narrative (KIN) is provided, as it </w:t>
      </w:r>
      <w:r>
        <w:rPr>
          <w:i/>
          <w:iCs/>
        </w:rPr>
        <w:t>may be</w:t>
      </w:r>
      <w:r>
        <w:t xml:space="preserve"> useful in drafting a </w:t>
      </w:r>
      <w:proofErr w:type="gramStart"/>
      <w:r>
        <w:t>responses</w:t>
      </w:r>
      <w:proofErr w:type="gramEnd"/>
      <w:r>
        <w:t xml:space="preserve">. Note that the KIN is addressing the sum of the </w:t>
      </w:r>
      <w:proofErr w:type="gramStart"/>
      <w:r>
        <w:t>out year</w:t>
      </w:r>
      <w:proofErr w:type="gramEnd"/>
      <w:r>
        <w:t xml:space="preserve"> targets (FY 2023) set by the Afghanistan activities that are reporting on each PT. The FY 2023 out year targets were set prior to the establishment of the FY 2030 Performance Targets, so the below explanations from the KIN may not apply to the Performance Target deviation.</w:t>
      </w:r>
    </w:p>
    <w:p w14:paraId="16BEE23B" w14:textId="77777777" w:rsidR="001D6993" w:rsidRPr="001D6993" w:rsidRDefault="001D6993" w:rsidP="001D6993">
      <w:pPr>
        <w:numPr>
          <w:ilvl w:val="0"/>
          <w:numId w:val="3"/>
        </w:numPr>
      </w:pPr>
      <w:r w:rsidRPr="001D6993">
        <w:t>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14:paraId="100ADDB9" w14:textId="77777777" w:rsidR="00A563E9" w:rsidRDefault="00A563E9" w:rsidP="0059508C"/>
    <w:p w14:paraId="1287F4B3" w14:textId="77777777" w:rsidR="00347914" w:rsidRDefault="00347914" w:rsidP="0059508C"/>
    <w:p w14:paraId="4E032B61" w14:textId="32F5F3A9" w:rsidR="00347914" w:rsidRDefault="00347914" w:rsidP="005E246B">
      <w:pPr>
        <w:pStyle w:val="Heading3"/>
      </w:pPr>
      <w:r w:rsidRPr="00B81B1C">
        <w:lastRenderedPageBreak/>
        <w:t>Performance on priority targets</w:t>
      </w:r>
      <w:bookmarkEnd w:id="0"/>
    </w:p>
    <w:p w14:paraId="44229ADC" w14:textId="77777777" w:rsidR="005D705A" w:rsidRDefault="005D705A" w:rsidP="005D705A">
      <w:pPr>
        <w:pStyle w:val="BodyText"/>
      </w:pPr>
    </w:p>
    <w:p w14:paraId="36FA154D" w14:textId="77777777" w:rsidR="005D705A" w:rsidRDefault="005D705A" w:rsidP="005D705A">
      <w:pPr>
        <w:pStyle w:val="BodyText"/>
      </w:pPr>
    </w:p>
    <w:tbl>
      <w:tblPr>
        <w:tblStyle w:val="Table"/>
        <w:tblW w:w="5000" w:type="pct"/>
        <w:tblLayout w:type="fixed"/>
        <w:tblLook w:val="0020" w:firstRow="1" w:lastRow="0" w:firstColumn="0" w:lastColumn="0" w:noHBand="0" w:noVBand="0"/>
      </w:tblPr>
      <w:tblGrid>
        <w:gridCol w:w="1710"/>
        <w:gridCol w:w="720"/>
        <w:gridCol w:w="1758"/>
        <w:gridCol w:w="1212"/>
        <w:gridCol w:w="1440"/>
        <w:gridCol w:w="1242"/>
        <w:gridCol w:w="1278"/>
      </w:tblGrid>
      <w:tr w:rsidR="005D705A" w:rsidRPr="005D705A" w14:paraId="124F5A8C" w14:textId="77777777" w:rsidTr="005D705A">
        <w:trPr>
          <w:cnfStyle w:val="100000000000" w:firstRow="1" w:lastRow="0" w:firstColumn="0" w:lastColumn="0" w:oddVBand="0" w:evenVBand="0" w:oddHBand="0" w:evenHBand="0" w:firstRowFirstColumn="0" w:firstRowLastColumn="0" w:lastRowFirstColumn="0" w:lastRowLastColumn="0"/>
          <w:tblHeader/>
        </w:trPr>
        <w:tc>
          <w:tcPr>
            <w:tcW w:w="1710" w:type="dxa"/>
          </w:tcPr>
          <w:p w14:paraId="43484855" w14:textId="77777777" w:rsidR="005D705A" w:rsidRPr="005D705A" w:rsidRDefault="005D705A" w:rsidP="00546863">
            <w:pPr>
              <w:pStyle w:val="Compact"/>
              <w:jc w:val="center"/>
              <w:rPr>
                <w:b/>
                <w:bCs/>
                <w:sz w:val="20"/>
                <w:szCs w:val="20"/>
              </w:rPr>
            </w:pPr>
            <w:r w:rsidRPr="005D705A">
              <w:rPr>
                <w:b/>
                <w:bCs/>
                <w:sz w:val="20"/>
                <w:szCs w:val="20"/>
              </w:rPr>
              <w:t>Award Number</w:t>
            </w:r>
          </w:p>
        </w:tc>
        <w:tc>
          <w:tcPr>
            <w:tcW w:w="720" w:type="dxa"/>
          </w:tcPr>
          <w:p w14:paraId="470BB80D" w14:textId="6C37FB70" w:rsidR="005D705A" w:rsidRPr="005D705A" w:rsidRDefault="005D705A" w:rsidP="00546863">
            <w:pPr>
              <w:pStyle w:val="Compact"/>
              <w:jc w:val="center"/>
              <w:rPr>
                <w:b/>
                <w:bCs/>
                <w:sz w:val="20"/>
                <w:szCs w:val="20"/>
              </w:rPr>
            </w:pPr>
            <w:proofErr w:type="spellStart"/>
            <w:r w:rsidRPr="005D705A">
              <w:rPr>
                <w:b/>
                <w:bCs/>
                <w:sz w:val="20"/>
                <w:szCs w:val="20"/>
              </w:rPr>
              <w:t>Act</w:t>
            </w:r>
            <w:r>
              <w:rPr>
                <w:b/>
                <w:bCs/>
                <w:sz w:val="20"/>
                <w:szCs w:val="20"/>
              </w:rPr>
              <w:t>’</w:t>
            </w:r>
            <w:r w:rsidRPr="005D705A">
              <w:rPr>
                <w:b/>
                <w:bCs/>
                <w:sz w:val="20"/>
                <w:szCs w:val="20"/>
              </w:rPr>
              <w:t>y</w:t>
            </w:r>
            <w:proofErr w:type="spellEnd"/>
            <w:r w:rsidRPr="005D705A">
              <w:rPr>
                <w:b/>
                <w:bCs/>
                <w:sz w:val="20"/>
                <w:szCs w:val="20"/>
              </w:rPr>
              <w:t xml:space="preserve"> Code</w:t>
            </w:r>
          </w:p>
        </w:tc>
        <w:tc>
          <w:tcPr>
            <w:tcW w:w="1758" w:type="dxa"/>
          </w:tcPr>
          <w:p w14:paraId="27A09607" w14:textId="77777777" w:rsidR="005D705A" w:rsidRPr="005D705A" w:rsidRDefault="005D705A" w:rsidP="00546863">
            <w:pPr>
              <w:pStyle w:val="Compact"/>
              <w:jc w:val="center"/>
              <w:rPr>
                <w:b/>
                <w:bCs/>
                <w:sz w:val="20"/>
                <w:szCs w:val="20"/>
              </w:rPr>
            </w:pPr>
            <w:r w:rsidRPr="005D705A">
              <w:rPr>
                <w:b/>
                <w:bCs/>
                <w:sz w:val="20"/>
                <w:szCs w:val="20"/>
              </w:rPr>
              <w:t>Activity Name</w:t>
            </w:r>
          </w:p>
        </w:tc>
        <w:tc>
          <w:tcPr>
            <w:tcW w:w="1212" w:type="dxa"/>
          </w:tcPr>
          <w:p w14:paraId="56A85313" w14:textId="53B0A8E3" w:rsidR="005D705A" w:rsidRPr="005D705A" w:rsidRDefault="005D705A" w:rsidP="00546863">
            <w:pPr>
              <w:pStyle w:val="Compact"/>
              <w:jc w:val="center"/>
              <w:rPr>
                <w:b/>
                <w:bCs/>
                <w:sz w:val="20"/>
                <w:szCs w:val="20"/>
              </w:rPr>
            </w:pPr>
            <w:r w:rsidRPr="005D705A">
              <w:rPr>
                <w:b/>
                <w:bCs/>
                <w:sz w:val="20"/>
                <w:szCs w:val="20"/>
              </w:rPr>
              <w:t>Total Disburse</w:t>
            </w:r>
            <w:r w:rsidR="00546863">
              <w:rPr>
                <w:b/>
                <w:bCs/>
                <w:sz w:val="20"/>
                <w:szCs w:val="20"/>
              </w:rPr>
              <w:t>-</w:t>
            </w:r>
            <w:proofErr w:type="spellStart"/>
            <w:r w:rsidR="00546863">
              <w:rPr>
                <w:b/>
                <w:bCs/>
                <w:sz w:val="20"/>
                <w:szCs w:val="20"/>
              </w:rPr>
              <w:t>ment</w:t>
            </w:r>
            <w:proofErr w:type="spellEnd"/>
          </w:p>
        </w:tc>
        <w:tc>
          <w:tcPr>
            <w:tcW w:w="1440" w:type="dxa"/>
          </w:tcPr>
          <w:p w14:paraId="1287D327" w14:textId="77777777" w:rsidR="005D705A" w:rsidRPr="005D705A" w:rsidRDefault="005D705A" w:rsidP="00546863">
            <w:pPr>
              <w:pStyle w:val="Compact"/>
              <w:jc w:val="center"/>
              <w:rPr>
                <w:b/>
                <w:bCs/>
                <w:sz w:val="20"/>
                <w:szCs w:val="20"/>
              </w:rPr>
            </w:pPr>
            <w:r w:rsidRPr="005D705A">
              <w:rPr>
                <w:b/>
                <w:bCs/>
                <w:sz w:val="20"/>
                <w:szCs w:val="20"/>
              </w:rPr>
              <w:t>Sales</w:t>
            </w:r>
          </w:p>
        </w:tc>
        <w:tc>
          <w:tcPr>
            <w:tcW w:w="1242" w:type="dxa"/>
          </w:tcPr>
          <w:p w14:paraId="7FBC2B13" w14:textId="77777777" w:rsidR="005D705A" w:rsidRPr="005D705A" w:rsidRDefault="005D705A" w:rsidP="00546863">
            <w:pPr>
              <w:pStyle w:val="Compact"/>
              <w:jc w:val="center"/>
              <w:rPr>
                <w:b/>
                <w:bCs/>
                <w:sz w:val="20"/>
                <w:szCs w:val="20"/>
              </w:rPr>
            </w:pPr>
            <w:r w:rsidRPr="005D705A">
              <w:rPr>
                <w:b/>
                <w:bCs/>
                <w:sz w:val="20"/>
                <w:szCs w:val="20"/>
              </w:rPr>
              <w:t>Hectares</w:t>
            </w:r>
          </w:p>
        </w:tc>
        <w:tc>
          <w:tcPr>
            <w:tcW w:w="1278" w:type="dxa"/>
          </w:tcPr>
          <w:p w14:paraId="70CD62AC" w14:textId="77777777" w:rsidR="005D705A" w:rsidRPr="005D705A" w:rsidRDefault="005D705A" w:rsidP="00546863">
            <w:pPr>
              <w:pStyle w:val="Compact"/>
              <w:jc w:val="center"/>
              <w:rPr>
                <w:b/>
                <w:bCs/>
                <w:sz w:val="20"/>
                <w:szCs w:val="20"/>
              </w:rPr>
            </w:pPr>
            <w:r w:rsidRPr="005D705A">
              <w:rPr>
                <w:b/>
                <w:bCs/>
                <w:sz w:val="20"/>
                <w:szCs w:val="20"/>
              </w:rPr>
              <w:t>PSI</w:t>
            </w:r>
          </w:p>
        </w:tc>
      </w:tr>
      <w:tr w:rsidR="005D705A" w:rsidRPr="005D705A" w14:paraId="5609249D" w14:textId="77777777" w:rsidTr="005D705A">
        <w:tc>
          <w:tcPr>
            <w:tcW w:w="1710" w:type="dxa"/>
          </w:tcPr>
          <w:p w14:paraId="09515C4B" w14:textId="77777777" w:rsidR="005D705A" w:rsidRPr="005D705A" w:rsidRDefault="005D705A" w:rsidP="000671B6">
            <w:pPr>
              <w:pStyle w:val="Compact"/>
              <w:jc w:val="left"/>
              <w:rPr>
                <w:sz w:val="20"/>
                <w:szCs w:val="20"/>
              </w:rPr>
            </w:pPr>
            <w:r w:rsidRPr="005D705A">
              <w:rPr>
                <w:sz w:val="20"/>
                <w:szCs w:val="20"/>
              </w:rPr>
              <w:t>72064120C00003</w:t>
            </w:r>
          </w:p>
        </w:tc>
        <w:tc>
          <w:tcPr>
            <w:tcW w:w="720" w:type="dxa"/>
          </w:tcPr>
          <w:p w14:paraId="114E5BE7" w14:textId="77777777" w:rsidR="005D705A" w:rsidRPr="005D705A" w:rsidRDefault="005D705A" w:rsidP="000671B6">
            <w:pPr>
              <w:pStyle w:val="Compact"/>
              <w:jc w:val="right"/>
              <w:rPr>
                <w:sz w:val="20"/>
                <w:szCs w:val="20"/>
              </w:rPr>
            </w:pPr>
            <w:r w:rsidRPr="005D705A">
              <w:rPr>
                <w:sz w:val="20"/>
                <w:szCs w:val="20"/>
              </w:rPr>
              <w:t>1851</w:t>
            </w:r>
          </w:p>
        </w:tc>
        <w:tc>
          <w:tcPr>
            <w:tcW w:w="1758" w:type="dxa"/>
          </w:tcPr>
          <w:p w14:paraId="0628584E" w14:textId="77777777" w:rsidR="005D705A" w:rsidRPr="005D705A" w:rsidRDefault="005D705A" w:rsidP="000671B6">
            <w:pPr>
              <w:pStyle w:val="Compact"/>
              <w:jc w:val="left"/>
              <w:rPr>
                <w:sz w:val="20"/>
                <w:szCs w:val="20"/>
              </w:rPr>
            </w:pPr>
            <w:r w:rsidRPr="005D705A">
              <w:rPr>
                <w:sz w:val="20"/>
                <w:szCs w:val="20"/>
              </w:rPr>
              <w:t>Feed the Future Ghana Mobilizing Finance in Agriculture</w:t>
            </w:r>
          </w:p>
        </w:tc>
        <w:tc>
          <w:tcPr>
            <w:tcW w:w="1212" w:type="dxa"/>
          </w:tcPr>
          <w:p w14:paraId="54D06254" w14:textId="77777777" w:rsidR="005D705A" w:rsidRPr="005D705A" w:rsidRDefault="005D705A" w:rsidP="005D705A">
            <w:pPr>
              <w:pStyle w:val="Compact"/>
              <w:jc w:val="right"/>
              <w:rPr>
                <w:sz w:val="20"/>
                <w:szCs w:val="20"/>
              </w:rPr>
            </w:pPr>
            <w:r w:rsidRPr="005D705A">
              <w:rPr>
                <w:sz w:val="20"/>
                <w:szCs w:val="20"/>
              </w:rPr>
              <w:t>$6,726,686</w:t>
            </w:r>
          </w:p>
        </w:tc>
        <w:tc>
          <w:tcPr>
            <w:tcW w:w="1440" w:type="dxa"/>
          </w:tcPr>
          <w:p w14:paraId="595920FB" w14:textId="77777777" w:rsidR="005D705A" w:rsidRPr="005D705A" w:rsidRDefault="005D705A" w:rsidP="005D705A">
            <w:pPr>
              <w:pStyle w:val="Compact"/>
              <w:jc w:val="right"/>
              <w:rPr>
                <w:sz w:val="20"/>
                <w:szCs w:val="20"/>
              </w:rPr>
            </w:pPr>
            <w:r w:rsidRPr="005D705A">
              <w:rPr>
                <w:sz w:val="20"/>
                <w:szCs w:val="20"/>
              </w:rPr>
              <w:t>$166,854,305</w:t>
            </w:r>
          </w:p>
        </w:tc>
        <w:tc>
          <w:tcPr>
            <w:tcW w:w="1242" w:type="dxa"/>
          </w:tcPr>
          <w:p w14:paraId="4B532FAC" w14:textId="77777777" w:rsidR="005D705A" w:rsidRPr="005D705A" w:rsidRDefault="005D705A" w:rsidP="005D705A">
            <w:pPr>
              <w:pStyle w:val="Compact"/>
              <w:jc w:val="right"/>
              <w:rPr>
                <w:sz w:val="20"/>
                <w:szCs w:val="20"/>
              </w:rPr>
            </w:pPr>
            <w:r w:rsidRPr="005D705A">
              <w:rPr>
                <w:sz w:val="20"/>
                <w:szCs w:val="20"/>
              </w:rPr>
              <w:t>NA</w:t>
            </w:r>
          </w:p>
        </w:tc>
        <w:tc>
          <w:tcPr>
            <w:tcW w:w="1278" w:type="dxa"/>
          </w:tcPr>
          <w:p w14:paraId="5158C84D" w14:textId="77777777" w:rsidR="005D705A" w:rsidRPr="005D705A" w:rsidRDefault="005D705A" w:rsidP="005D705A">
            <w:pPr>
              <w:pStyle w:val="Compact"/>
              <w:jc w:val="right"/>
              <w:rPr>
                <w:sz w:val="20"/>
                <w:szCs w:val="20"/>
              </w:rPr>
            </w:pPr>
            <w:r w:rsidRPr="005D705A">
              <w:rPr>
                <w:sz w:val="20"/>
                <w:szCs w:val="20"/>
              </w:rPr>
              <w:t>$50,163,805</w:t>
            </w:r>
          </w:p>
        </w:tc>
      </w:tr>
      <w:tr w:rsidR="005D705A" w:rsidRPr="005D705A" w14:paraId="65663B35" w14:textId="77777777" w:rsidTr="005D705A">
        <w:tc>
          <w:tcPr>
            <w:tcW w:w="1710" w:type="dxa"/>
          </w:tcPr>
          <w:p w14:paraId="37CE716E" w14:textId="77777777" w:rsidR="005D705A" w:rsidRPr="005D705A" w:rsidRDefault="005D705A" w:rsidP="000671B6">
            <w:pPr>
              <w:pStyle w:val="Compact"/>
              <w:jc w:val="left"/>
              <w:rPr>
                <w:sz w:val="20"/>
                <w:szCs w:val="20"/>
              </w:rPr>
            </w:pPr>
            <w:r w:rsidRPr="005D705A">
              <w:rPr>
                <w:sz w:val="20"/>
                <w:szCs w:val="20"/>
              </w:rPr>
              <w:t>72064122C00001</w:t>
            </w:r>
          </w:p>
        </w:tc>
        <w:tc>
          <w:tcPr>
            <w:tcW w:w="720" w:type="dxa"/>
          </w:tcPr>
          <w:p w14:paraId="05E24D00" w14:textId="77777777" w:rsidR="005D705A" w:rsidRPr="005D705A" w:rsidRDefault="005D705A" w:rsidP="000671B6">
            <w:pPr>
              <w:pStyle w:val="Compact"/>
              <w:jc w:val="right"/>
              <w:rPr>
                <w:sz w:val="20"/>
                <w:szCs w:val="20"/>
              </w:rPr>
            </w:pPr>
            <w:r w:rsidRPr="005D705A">
              <w:rPr>
                <w:sz w:val="20"/>
                <w:szCs w:val="20"/>
              </w:rPr>
              <w:t>5005</w:t>
            </w:r>
          </w:p>
        </w:tc>
        <w:tc>
          <w:tcPr>
            <w:tcW w:w="1758" w:type="dxa"/>
          </w:tcPr>
          <w:p w14:paraId="55B0A9C7" w14:textId="77777777" w:rsidR="005D705A" w:rsidRPr="005D705A" w:rsidRDefault="005D705A" w:rsidP="000671B6">
            <w:pPr>
              <w:pStyle w:val="Compact"/>
              <w:jc w:val="left"/>
              <w:rPr>
                <w:sz w:val="20"/>
                <w:szCs w:val="20"/>
              </w:rPr>
            </w:pPr>
            <w:r w:rsidRPr="005D705A">
              <w:rPr>
                <w:sz w:val="20"/>
                <w:szCs w:val="20"/>
              </w:rPr>
              <w:t>Feed the Future Ghana Market Systems and Resilience Activity</w:t>
            </w:r>
          </w:p>
        </w:tc>
        <w:tc>
          <w:tcPr>
            <w:tcW w:w="1212" w:type="dxa"/>
          </w:tcPr>
          <w:p w14:paraId="756E1AA5" w14:textId="77777777" w:rsidR="005D705A" w:rsidRPr="005D705A" w:rsidRDefault="005D705A" w:rsidP="005D705A">
            <w:pPr>
              <w:pStyle w:val="Compact"/>
              <w:jc w:val="right"/>
              <w:rPr>
                <w:sz w:val="20"/>
                <w:szCs w:val="20"/>
              </w:rPr>
            </w:pPr>
            <w:r w:rsidRPr="005D705A">
              <w:rPr>
                <w:sz w:val="20"/>
                <w:szCs w:val="20"/>
              </w:rPr>
              <w:t>$7,080,380</w:t>
            </w:r>
          </w:p>
        </w:tc>
        <w:tc>
          <w:tcPr>
            <w:tcW w:w="1440" w:type="dxa"/>
          </w:tcPr>
          <w:p w14:paraId="1C01269A" w14:textId="77777777" w:rsidR="005D705A" w:rsidRPr="005D705A" w:rsidRDefault="005D705A" w:rsidP="005D705A">
            <w:pPr>
              <w:pStyle w:val="Compact"/>
              <w:jc w:val="right"/>
              <w:rPr>
                <w:sz w:val="20"/>
                <w:szCs w:val="20"/>
              </w:rPr>
            </w:pPr>
            <w:r w:rsidRPr="005D705A">
              <w:rPr>
                <w:sz w:val="20"/>
                <w:szCs w:val="20"/>
              </w:rPr>
              <w:t>$21,728,234</w:t>
            </w:r>
          </w:p>
        </w:tc>
        <w:tc>
          <w:tcPr>
            <w:tcW w:w="1242" w:type="dxa"/>
          </w:tcPr>
          <w:p w14:paraId="7332A2C1" w14:textId="77777777" w:rsidR="005D705A" w:rsidRPr="005D705A" w:rsidRDefault="005D705A" w:rsidP="005D705A">
            <w:pPr>
              <w:pStyle w:val="Compact"/>
              <w:jc w:val="right"/>
              <w:rPr>
                <w:sz w:val="20"/>
                <w:szCs w:val="20"/>
              </w:rPr>
            </w:pPr>
            <w:r w:rsidRPr="005D705A">
              <w:rPr>
                <w:sz w:val="20"/>
                <w:szCs w:val="20"/>
              </w:rPr>
              <w:t>4 345</w:t>
            </w:r>
          </w:p>
        </w:tc>
        <w:tc>
          <w:tcPr>
            <w:tcW w:w="1278" w:type="dxa"/>
          </w:tcPr>
          <w:p w14:paraId="789ACAE2" w14:textId="77777777" w:rsidR="005D705A" w:rsidRPr="005D705A" w:rsidRDefault="005D705A" w:rsidP="005D705A">
            <w:pPr>
              <w:pStyle w:val="Compact"/>
              <w:jc w:val="right"/>
              <w:rPr>
                <w:sz w:val="20"/>
                <w:szCs w:val="20"/>
              </w:rPr>
            </w:pPr>
            <w:r w:rsidRPr="005D705A">
              <w:rPr>
                <w:sz w:val="20"/>
                <w:szCs w:val="20"/>
              </w:rPr>
              <w:t>NA</w:t>
            </w:r>
          </w:p>
        </w:tc>
      </w:tr>
      <w:tr w:rsidR="005D705A" w:rsidRPr="005D705A" w14:paraId="191BA827" w14:textId="77777777" w:rsidTr="005D705A">
        <w:tc>
          <w:tcPr>
            <w:tcW w:w="1710" w:type="dxa"/>
          </w:tcPr>
          <w:p w14:paraId="1DFA4AE1" w14:textId="77777777" w:rsidR="005D705A" w:rsidRPr="005D705A" w:rsidRDefault="005D705A" w:rsidP="000671B6">
            <w:pPr>
              <w:pStyle w:val="Compact"/>
              <w:jc w:val="left"/>
              <w:rPr>
                <w:sz w:val="20"/>
                <w:szCs w:val="20"/>
              </w:rPr>
            </w:pPr>
            <w:r w:rsidRPr="005D705A">
              <w:rPr>
                <w:sz w:val="20"/>
                <w:szCs w:val="20"/>
              </w:rPr>
              <w:t>72062019C00003</w:t>
            </w:r>
          </w:p>
        </w:tc>
        <w:tc>
          <w:tcPr>
            <w:tcW w:w="720" w:type="dxa"/>
          </w:tcPr>
          <w:p w14:paraId="26175F6C" w14:textId="77777777" w:rsidR="005D705A" w:rsidRPr="005D705A" w:rsidRDefault="005D705A" w:rsidP="000671B6">
            <w:pPr>
              <w:pStyle w:val="Compact"/>
              <w:jc w:val="right"/>
              <w:rPr>
                <w:sz w:val="20"/>
                <w:szCs w:val="20"/>
              </w:rPr>
            </w:pPr>
            <w:r w:rsidRPr="005D705A">
              <w:rPr>
                <w:sz w:val="20"/>
                <w:szCs w:val="20"/>
              </w:rPr>
              <w:t>1097</w:t>
            </w:r>
          </w:p>
        </w:tc>
        <w:tc>
          <w:tcPr>
            <w:tcW w:w="1758" w:type="dxa"/>
          </w:tcPr>
          <w:p w14:paraId="69B48939" w14:textId="77777777" w:rsidR="005D705A" w:rsidRPr="005D705A" w:rsidRDefault="005D705A" w:rsidP="000671B6">
            <w:pPr>
              <w:pStyle w:val="Compact"/>
              <w:jc w:val="left"/>
              <w:rPr>
                <w:sz w:val="20"/>
                <w:szCs w:val="20"/>
              </w:rPr>
            </w:pPr>
            <w:r w:rsidRPr="005D705A">
              <w:rPr>
                <w:sz w:val="20"/>
                <w:szCs w:val="20"/>
              </w:rPr>
              <w:t>West Africa Trade Hub</w:t>
            </w:r>
          </w:p>
        </w:tc>
        <w:tc>
          <w:tcPr>
            <w:tcW w:w="1212" w:type="dxa"/>
          </w:tcPr>
          <w:p w14:paraId="4E014B7D" w14:textId="77777777" w:rsidR="005D705A" w:rsidRPr="005D705A" w:rsidRDefault="005D705A" w:rsidP="005D705A">
            <w:pPr>
              <w:pStyle w:val="Compact"/>
              <w:jc w:val="right"/>
              <w:rPr>
                <w:sz w:val="20"/>
                <w:szCs w:val="20"/>
              </w:rPr>
            </w:pPr>
            <w:r w:rsidRPr="005D705A">
              <w:rPr>
                <w:sz w:val="20"/>
                <w:szCs w:val="20"/>
              </w:rPr>
              <w:t>$1,520,444</w:t>
            </w:r>
          </w:p>
        </w:tc>
        <w:tc>
          <w:tcPr>
            <w:tcW w:w="1440" w:type="dxa"/>
          </w:tcPr>
          <w:p w14:paraId="22B9D6F3" w14:textId="77777777" w:rsidR="005D705A" w:rsidRPr="005D705A" w:rsidRDefault="005D705A" w:rsidP="005D705A">
            <w:pPr>
              <w:pStyle w:val="Compact"/>
              <w:jc w:val="right"/>
              <w:rPr>
                <w:sz w:val="20"/>
                <w:szCs w:val="20"/>
              </w:rPr>
            </w:pPr>
            <w:r w:rsidRPr="005D705A">
              <w:rPr>
                <w:sz w:val="20"/>
                <w:szCs w:val="20"/>
              </w:rPr>
              <w:t>$10,601,032</w:t>
            </w:r>
          </w:p>
        </w:tc>
        <w:tc>
          <w:tcPr>
            <w:tcW w:w="1242" w:type="dxa"/>
          </w:tcPr>
          <w:p w14:paraId="4E77E844" w14:textId="77777777" w:rsidR="005D705A" w:rsidRPr="005D705A" w:rsidRDefault="005D705A" w:rsidP="005D705A">
            <w:pPr>
              <w:pStyle w:val="Compact"/>
              <w:jc w:val="right"/>
              <w:rPr>
                <w:sz w:val="20"/>
                <w:szCs w:val="20"/>
              </w:rPr>
            </w:pPr>
            <w:r w:rsidRPr="005D705A">
              <w:rPr>
                <w:sz w:val="20"/>
                <w:szCs w:val="20"/>
              </w:rPr>
              <w:t>NA</w:t>
            </w:r>
          </w:p>
        </w:tc>
        <w:tc>
          <w:tcPr>
            <w:tcW w:w="1278" w:type="dxa"/>
          </w:tcPr>
          <w:p w14:paraId="6916572F" w14:textId="77777777" w:rsidR="005D705A" w:rsidRPr="005D705A" w:rsidRDefault="005D705A" w:rsidP="005D705A">
            <w:pPr>
              <w:pStyle w:val="Compact"/>
              <w:jc w:val="right"/>
              <w:rPr>
                <w:sz w:val="20"/>
                <w:szCs w:val="20"/>
              </w:rPr>
            </w:pPr>
            <w:r w:rsidRPr="005D705A">
              <w:rPr>
                <w:sz w:val="20"/>
                <w:szCs w:val="20"/>
              </w:rPr>
              <w:t>$9,373,342</w:t>
            </w:r>
          </w:p>
        </w:tc>
      </w:tr>
      <w:tr w:rsidR="005D705A" w:rsidRPr="005D705A" w14:paraId="43C219EA" w14:textId="77777777" w:rsidTr="005D705A">
        <w:tc>
          <w:tcPr>
            <w:tcW w:w="1710" w:type="dxa"/>
          </w:tcPr>
          <w:p w14:paraId="550EA03B" w14:textId="77777777" w:rsidR="005D705A" w:rsidRPr="005D705A" w:rsidRDefault="005D705A" w:rsidP="000671B6">
            <w:pPr>
              <w:pStyle w:val="Compact"/>
              <w:jc w:val="left"/>
              <w:rPr>
                <w:sz w:val="20"/>
                <w:szCs w:val="20"/>
              </w:rPr>
            </w:pPr>
            <w:r w:rsidRPr="005D705A">
              <w:rPr>
                <w:sz w:val="20"/>
                <w:szCs w:val="20"/>
              </w:rPr>
              <w:t>72064121C00002</w:t>
            </w:r>
          </w:p>
        </w:tc>
        <w:tc>
          <w:tcPr>
            <w:tcW w:w="720" w:type="dxa"/>
          </w:tcPr>
          <w:p w14:paraId="2D25DCE3" w14:textId="77777777" w:rsidR="005D705A" w:rsidRPr="005D705A" w:rsidRDefault="005D705A" w:rsidP="000671B6">
            <w:pPr>
              <w:pStyle w:val="Compact"/>
              <w:jc w:val="right"/>
              <w:rPr>
                <w:sz w:val="20"/>
                <w:szCs w:val="20"/>
              </w:rPr>
            </w:pPr>
            <w:r w:rsidRPr="005D705A">
              <w:rPr>
                <w:sz w:val="20"/>
                <w:szCs w:val="20"/>
              </w:rPr>
              <w:t>5330</w:t>
            </w:r>
          </w:p>
        </w:tc>
        <w:tc>
          <w:tcPr>
            <w:tcW w:w="1758" w:type="dxa"/>
          </w:tcPr>
          <w:p w14:paraId="2097C80F" w14:textId="77777777" w:rsidR="005D705A" w:rsidRPr="005D705A" w:rsidRDefault="005D705A" w:rsidP="000671B6">
            <w:pPr>
              <w:pStyle w:val="Compact"/>
              <w:jc w:val="left"/>
              <w:rPr>
                <w:sz w:val="20"/>
                <w:szCs w:val="20"/>
              </w:rPr>
            </w:pPr>
            <w:r w:rsidRPr="005D705A">
              <w:rPr>
                <w:sz w:val="20"/>
                <w:szCs w:val="20"/>
              </w:rPr>
              <w:t>Feed the Future Ghana Trade and Investment Activity</w:t>
            </w:r>
          </w:p>
        </w:tc>
        <w:tc>
          <w:tcPr>
            <w:tcW w:w="1212" w:type="dxa"/>
          </w:tcPr>
          <w:p w14:paraId="79E2A7E2" w14:textId="77777777" w:rsidR="005D705A" w:rsidRPr="005D705A" w:rsidRDefault="005D705A" w:rsidP="005D705A">
            <w:pPr>
              <w:pStyle w:val="Compact"/>
              <w:jc w:val="right"/>
              <w:rPr>
                <w:sz w:val="20"/>
                <w:szCs w:val="20"/>
              </w:rPr>
            </w:pPr>
            <w:r w:rsidRPr="005D705A">
              <w:rPr>
                <w:sz w:val="20"/>
                <w:szCs w:val="20"/>
              </w:rPr>
              <w:t>$1,898,520</w:t>
            </w:r>
          </w:p>
        </w:tc>
        <w:tc>
          <w:tcPr>
            <w:tcW w:w="1440" w:type="dxa"/>
          </w:tcPr>
          <w:p w14:paraId="074F9166" w14:textId="77777777" w:rsidR="005D705A" w:rsidRPr="005D705A" w:rsidRDefault="005D705A" w:rsidP="005D705A">
            <w:pPr>
              <w:pStyle w:val="Compact"/>
              <w:jc w:val="right"/>
              <w:rPr>
                <w:sz w:val="20"/>
                <w:szCs w:val="20"/>
              </w:rPr>
            </w:pPr>
            <w:r w:rsidRPr="005D705A">
              <w:rPr>
                <w:sz w:val="20"/>
                <w:szCs w:val="20"/>
              </w:rPr>
              <w:t>$4,485,809</w:t>
            </w:r>
          </w:p>
        </w:tc>
        <w:tc>
          <w:tcPr>
            <w:tcW w:w="1242" w:type="dxa"/>
          </w:tcPr>
          <w:p w14:paraId="1289B91E" w14:textId="77777777" w:rsidR="005D705A" w:rsidRPr="005D705A" w:rsidRDefault="005D705A" w:rsidP="005D705A">
            <w:pPr>
              <w:pStyle w:val="Compact"/>
              <w:jc w:val="right"/>
              <w:rPr>
                <w:sz w:val="20"/>
                <w:szCs w:val="20"/>
              </w:rPr>
            </w:pPr>
            <w:r w:rsidRPr="005D705A">
              <w:rPr>
                <w:sz w:val="20"/>
                <w:szCs w:val="20"/>
              </w:rPr>
              <w:t>NA</w:t>
            </w:r>
          </w:p>
        </w:tc>
        <w:tc>
          <w:tcPr>
            <w:tcW w:w="1278" w:type="dxa"/>
          </w:tcPr>
          <w:p w14:paraId="488F7D2E" w14:textId="77777777" w:rsidR="005D705A" w:rsidRPr="005D705A" w:rsidRDefault="005D705A" w:rsidP="005D705A">
            <w:pPr>
              <w:pStyle w:val="Compact"/>
              <w:jc w:val="right"/>
              <w:rPr>
                <w:sz w:val="20"/>
                <w:szCs w:val="20"/>
              </w:rPr>
            </w:pPr>
            <w:r w:rsidRPr="005D705A">
              <w:rPr>
                <w:sz w:val="20"/>
                <w:szCs w:val="20"/>
              </w:rPr>
              <w:t>NA</w:t>
            </w:r>
          </w:p>
        </w:tc>
      </w:tr>
      <w:tr w:rsidR="005D705A" w:rsidRPr="005D705A" w14:paraId="5D7E3D0B" w14:textId="77777777" w:rsidTr="005D705A">
        <w:tc>
          <w:tcPr>
            <w:tcW w:w="1710" w:type="dxa"/>
          </w:tcPr>
          <w:p w14:paraId="0868F56F" w14:textId="77777777" w:rsidR="005D705A" w:rsidRPr="005D705A" w:rsidRDefault="005D705A" w:rsidP="000671B6">
            <w:pPr>
              <w:pStyle w:val="Compact"/>
              <w:jc w:val="left"/>
              <w:rPr>
                <w:sz w:val="20"/>
                <w:szCs w:val="20"/>
              </w:rPr>
            </w:pPr>
            <w:r w:rsidRPr="005D705A">
              <w:rPr>
                <w:sz w:val="20"/>
                <w:szCs w:val="20"/>
              </w:rPr>
              <w:t>AID-OAA-A-17-00029</w:t>
            </w:r>
          </w:p>
        </w:tc>
        <w:tc>
          <w:tcPr>
            <w:tcW w:w="720" w:type="dxa"/>
          </w:tcPr>
          <w:p w14:paraId="3D9C6B7B" w14:textId="77777777" w:rsidR="005D705A" w:rsidRPr="005D705A" w:rsidRDefault="005D705A" w:rsidP="000671B6">
            <w:pPr>
              <w:pStyle w:val="Compact"/>
              <w:jc w:val="right"/>
              <w:rPr>
                <w:sz w:val="20"/>
                <w:szCs w:val="20"/>
              </w:rPr>
            </w:pPr>
            <w:r w:rsidRPr="005D705A">
              <w:rPr>
                <w:sz w:val="20"/>
                <w:szCs w:val="20"/>
              </w:rPr>
              <w:t>2406</w:t>
            </w:r>
          </w:p>
        </w:tc>
        <w:tc>
          <w:tcPr>
            <w:tcW w:w="1758" w:type="dxa"/>
          </w:tcPr>
          <w:p w14:paraId="34D42474" w14:textId="77777777" w:rsidR="005D705A" w:rsidRPr="005D705A" w:rsidRDefault="005D705A" w:rsidP="000671B6">
            <w:pPr>
              <w:pStyle w:val="Compact"/>
              <w:jc w:val="left"/>
              <w:rPr>
                <w:sz w:val="20"/>
                <w:szCs w:val="20"/>
              </w:rPr>
            </w:pPr>
            <w:r w:rsidRPr="005D705A">
              <w:rPr>
                <w:sz w:val="20"/>
                <w:szCs w:val="20"/>
              </w:rPr>
              <w:t>AGRA-Partnership for Inclusive Agricultural Transformation in Africa</w:t>
            </w:r>
          </w:p>
        </w:tc>
        <w:tc>
          <w:tcPr>
            <w:tcW w:w="1212" w:type="dxa"/>
          </w:tcPr>
          <w:p w14:paraId="498736A7" w14:textId="77777777" w:rsidR="005D705A" w:rsidRPr="005D705A" w:rsidRDefault="005D705A" w:rsidP="005D705A">
            <w:pPr>
              <w:pStyle w:val="Compact"/>
              <w:jc w:val="right"/>
              <w:rPr>
                <w:sz w:val="20"/>
                <w:szCs w:val="20"/>
              </w:rPr>
            </w:pPr>
            <w:r w:rsidRPr="005D705A">
              <w:rPr>
                <w:sz w:val="20"/>
                <w:szCs w:val="20"/>
              </w:rPr>
              <w:t>$3,728,871</w:t>
            </w:r>
          </w:p>
        </w:tc>
        <w:tc>
          <w:tcPr>
            <w:tcW w:w="1440" w:type="dxa"/>
          </w:tcPr>
          <w:p w14:paraId="63488D91" w14:textId="77777777" w:rsidR="005D705A" w:rsidRPr="005D705A" w:rsidRDefault="005D705A" w:rsidP="005D705A">
            <w:pPr>
              <w:pStyle w:val="Compact"/>
              <w:jc w:val="right"/>
              <w:rPr>
                <w:sz w:val="20"/>
                <w:szCs w:val="20"/>
              </w:rPr>
            </w:pPr>
            <w:r w:rsidRPr="005D705A">
              <w:rPr>
                <w:sz w:val="20"/>
                <w:szCs w:val="20"/>
              </w:rPr>
              <w:t>NA</w:t>
            </w:r>
          </w:p>
        </w:tc>
        <w:tc>
          <w:tcPr>
            <w:tcW w:w="1242" w:type="dxa"/>
          </w:tcPr>
          <w:p w14:paraId="716BD8E7" w14:textId="77777777" w:rsidR="005D705A" w:rsidRPr="005D705A" w:rsidRDefault="005D705A" w:rsidP="005D705A">
            <w:pPr>
              <w:pStyle w:val="Compact"/>
              <w:jc w:val="right"/>
              <w:rPr>
                <w:sz w:val="20"/>
                <w:szCs w:val="20"/>
              </w:rPr>
            </w:pPr>
            <w:r w:rsidRPr="005D705A">
              <w:rPr>
                <w:sz w:val="20"/>
                <w:szCs w:val="20"/>
              </w:rPr>
              <w:t>532 962</w:t>
            </w:r>
          </w:p>
        </w:tc>
        <w:tc>
          <w:tcPr>
            <w:tcW w:w="1278" w:type="dxa"/>
          </w:tcPr>
          <w:p w14:paraId="516CFEF7" w14:textId="77777777" w:rsidR="005D705A" w:rsidRPr="005D705A" w:rsidRDefault="005D705A" w:rsidP="005D705A">
            <w:pPr>
              <w:pStyle w:val="Compact"/>
              <w:jc w:val="right"/>
              <w:rPr>
                <w:sz w:val="20"/>
                <w:szCs w:val="20"/>
              </w:rPr>
            </w:pPr>
            <w:r w:rsidRPr="005D705A">
              <w:rPr>
                <w:sz w:val="20"/>
                <w:szCs w:val="20"/>
              </w:rPr>
              <w:t>$32,000,000</w:t>
            </w:r>
          </w:p>
        </w:tc>
      </w:tr>
    </w:tbl>
    <w:p w14:paraId="05485743" w14:textId="77777777" w:rsidR="005D705A" w:rsidRPr="005D705A" w:rsidRDefault="005D705A" w:rsidP="005D705A">
      <w:pPr>
        <w:pStyle w:val="BodyText"/>
      </w:pPr>
    </w:p>
    <w:sectPr w:rsidR="005D705A" w:rsidRPr="005D705A" w:rsidSect="005552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B2E7" w14:textId="77777777" w:rsidR="009E4C56" w:rsidRDefault="009E4C56">
      <w:pPr>
        <w:spacing w:after="0"/>
      </w:pPr>
      <w:r>
        <w:separator/>
      </w:r>
    </w:p>
  </w:endnote>
  <w:endnote w:type="continuationSeparator" w:id="0">
    <w:p w14:paraId="7E9023A9" w14:textId="77777777" w:rsidR="009E4C56" w:rsidRDefault="009E4C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6A45" w14:textId="77777777" w:rsidR="009E4C56" w:rsidRDefault="009E4C56">
      <w:r>
        <w:separator/>
      </w:r>
    </w:p>
  </w:footnote>
  <w:footnote w:type="continuationSeparator" w:id="0">
    <w:p w14:paraId="66341BBD" w14:textId="77777777" w:rsidR="009E4C56" w:rsidRDefault="009E4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BC5D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2AC97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37762178">
    <w:abstractNumId w:val="0"/>
  </w:num>
  <w:num w:numId="2" w16cid:durableId="1548834929">
    <w:abstractNumId w:val="0"/>
  </w:num>
  <w:num w:numId="3" w16cid:durableId="872692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8c898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04"/>
    <w:rsid w:val="00114C93"/>
    <w:rsid w:val="00180FAA"/>
    <w:rsid w:val="001A6149"/>
    <w:rsid w:val="001D6993"/>
    <w:rsid w:val="00242CF6"/>
    <w:rsid w:val="00347914"/>
    <w:rsid w:val="00443923"/>
    <w:rsid w:val="004F5F99"/>
    <w:rsid w:val="004F72B0"/>
    <w:rsid w:val="00546863"/>
    <w:rsid w:val="00550954"/>
    <w:rsid w:val="00555208"/>
    <w:rsid w:val="0059508C"/>
    <w:rsid w:val="005D705A"/>
    <w:rsid w:val="005E246B"/>
    <w:rsid w:val="005E24B4"/>
    <w:rsid w:val="006B4373"/>
    <w:rsid w:val="00704CDB"/>
    <w:rsid w:val="00786889"/>
    <w:rsid w:val="00865A78"/>
    <w:rsid w:val="00890C82"/>
    <w:rsid w:val="008A113B"/>
    <w:rsid w:val="009473CF"/>
    <w:rsid w:val="0095186D"/>
    <w:rsid w:val="009B2504"/>
    <w:rsid w:val="009E4C56"/>
    <w:rsid w:val="00A27D31"/>
    <w:rsid w:val="00A563E9"/>
    <w:rsid w:val="00A8620D"/>
    <w:rsid w:val="00B15207"/>
    <w:rsid w:val="00B2440E"/>
    <w:rsid w:val="00B3170E"/>
    <w:rsid w:val="00B432C8"/>
    <w:rsid w:val="00B5076B"/>
    <w:rsid w:val="00B81B1C"/>
    <w:rsid w:val="00B91B6F"/>
    <w:rsid w:val="00C159BC"/>
    <w:rsid w:val="00CD16AC"/>
    <w:rsid w:val="00CD6C98"/>
    <w:rsid w:val="00CF0E78"/>
    <w:rsid w:val="00D15A4A"/>
    <w:rsid w:val="00E02C5B"/>
    <w:rsid w:val="00E03448"/>
    <w:rsid w:val="00E248D2"/>
    <w:rsid w:val="00E92D47"/>
    <w:rsid w:val="00EB36C4"/>
    <w:rsid w:val="00EE0252"/>
    <w:rsid w:val="00FB2D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c8985"/>
    </o:shapedefaults>
    <o:shapelayout v:ext="edit">
      <o:idmap v:ext="edit" data="2"/>
    </o:shapelayout>
  </w:shapeDefaults>
  <w:decimalSymbol w:val="."/>
  <w:listSeparator w:val=","/>
  <w14:docId w14:val="3C431027"/>
  <w15:docId w15:val="{01076657-1EA2-41B0-8810-2E5D2D67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6993"/>
    <w:rPr>
      <w:rFonts w:ascii="Gill Sans MT" w:hAnsi="Gill Sans MT"/>
    </w:rPr>
  </w:style>
  <w:style w:type="paragraph" w:styleId="Heading1">
    <w:name w:val="heading 1"/>
    <w:basedOn w:val="Heading2"/>
    <w:next w:val="BodyText"/>
    <w:uiPriority w:val="9"/>
    <w:qFormat/>
    <w:rsid w:val="00B81B1C"/>
    <w:pPr>
      <w:outlineLvl w:val="0"/>
    </w:pPr>
    <w:rPr>
      <w:color w:val="BA0C2F"/>
      <w:sz w:val="36"/>
      <w:szCs w:val="36"/>
    </w:rPr>
  </w:style>
  <w:style w:type="paragraph" w:styleId="Heading2">
    <w:name w:val="heading 2"/>
    <w:basedOn w:val="Normal"/>
    <w:next w:val="BodyText"/>
    <w:uiPriority w:val="9"/>
    <w:unhideWhenUsed/>
    <w:qFormat/>
    <w:rsid w:val="005E246B"/>
    <w:pPr>
      <w:keepNext/>
      <w:keepLines/>
      <w:spacing w:before="200" w:after="0"/>
      <w:jc w:val="both"/>
      <w:outlineLvl w:val="1"/>
    </w:pPr>
    <w:rPr>
      <w:rFonts w:eastAsiaTheme="majorEastAsia" w:cstheme="majorBidi"/>
      <w:b/>
      <w:bCs/>
      <w:color w:val="C00000"/>
      <w:sz w:val="28"/>
      <w:szCs w:val="28"/>
    </w:rPr>
  </w:style>
  <w:style w:type="paragraph" w:styleId="Heading3">
    <w:name w:val="heading 3"/>
    <w:basedOn w:val="Heading1"/>
    <w:next w:val="BodyText"/>
    <w:uiPriority w:val="9"/>
    <w:unhideWhenUsed/>
    <w:qFormat/>
    <w:rsid w:val="00B81B1C"/>
    <w:pPr>
      <w:pageBreakBefore/>
      <w:outlineLvl w:val="2"/>
    </w:pPr>
    <w:rPr>
      <w:sz w:val="32"/>
      <w:szCs w:val="3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Heading3"/>
    <w:next w:val="BodyText"/>
    <w:uiPriority w:val="9"/>
    <w:unhideWhenUsed/>
    <w:qFormat/>
    <w:rsid w:val="00A563E9"/>
    <w:pPr>
      <w:outlineLvl w:val="5"/>
    </w:pPr>
    <w:rPr>
      <w:sz w:val="28"/>
      <w:szCs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E0252"/>
    <w:pPr>
      <w:spacing w:before="180" w:after="180"/>
      <w:jc w:val="both"/>
    </w:pPr>
    <w:rPr>
      <w:rFonts w:cs="Times New Roman"/>
    </w:rPr>
  </w:style>
  <w:style w:type="paragraph" w:customStyle="1" w:styleId="FirstParagraph">
    <w:name w:val="First Paragraph"/>
    <w:basedOn w:val="BodyText"/>
    <w:next w:val="BodyText"/>
    <w:qFormat/>
    <w:rsid w:val="00D15A4A"/>
  </w:style>
  <w:style w:type="paragraph" w:customStyle="1" w:styleId="Compact">
    <w:name w:val="Compact"/>
    <w:basedOn w:val="BodyText"/>
    <w:qFormat/>
    <w:pPr>
      <w:spacing w:before="36" w:after="36"/>
    </w:pPr>
  </w:style>
  <w:style w:type="paragraph" w:styleId="Title">
    <w:name w:val="Title"/>
    <w:basedOn w:val="Normal"/>
    <w:next w:val="BodyText"/>
    <w:qFormat/>
    <w:rsid w:val="005E24B4"/>
    <w:pPr>
      <w:keepNext/>
      <w:keepLines/>
      <w:spacing w:after="240"/>
      <w:jc w:val="center"/>
    </w:pPr>
    <w:rPr>
      <w:rFonts w:eastAsiaTheme="majorEastAsia" w:cstheme="majorBidi"/>
      <w:b/>
      <w:bCs/>
      <w:color w:val="00206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F72B0"/>
    <w:pPr>
      <w:keepNext/>
      <w:keepLines/>
    </w:pPr>
    <w:rPr>
      <w:rFonts w:ascii="Gill Sans MT" w:hAnsi="Gill Sans MT" w:cs="Times New Roman"/>
    </w:rPr>
  </w:style>
  <w:style w:type="paragraph" w:styleId="Date">
    <w:name w:val="Date"/>
    <w:next w:val="BodyText"/>
    <w:qFormat/>
    <w:rsid w:val="004F72B0"/>
    <w:pPr>
      <w:keepNext/>
      <w:keepLines/>
    </w:pPr>
    <w:rPr>
      <w:rFonts w:ascii="Gill Sans MT" w:hAnsi="Gill Sans MT"/>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2616B"/>
    <w:rPr>
      <w:rFonts w:ascii="Courier New" w:hAnsi="Courier New" w:cs="Courier New"/>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BodyText"/>
    <w:link w:val="VerbatimChar"/>
    <w:rsid w:val="00E2616B"/>
    <w:rPr>
      <w:rFonts w:ascii="Courier New" w:hAnsi="Courier New" w:cs="Courier New"/>
    </w:rPr>
  </w:style>
  <w:style w:type="character" w:customStyle="1" w:styleId="KeywordTok">
    <w:name w:val="KeywordTok"/>
    <w:basedOn w:val="VerbatimChar"/>
    <w:rPr>
      <w:rFonts w:ascii="Courier New" w:hAnsi="Courier New" w:cs="Courier New"/>
      <w:b/>
      <w:color w:val="204A87"/>
      <w:shd w:val="clear" w:color="auto" w:fill="F8F8F8"/>
    </w:rPr>
  </w:style>
  <w:style w:type="character" w:customStyle="1" w:styleId="DataTypeTok">
    <w:name w:val="DataTypeTok"/>
    <w:basedOn w:val="VerbatimChar"/>
    <w:rPr>
      <w:rFonts w:ascii="Courier New" w:hAnsi="Courier New" w:cs="Courier New"/>
      <w:color w:val="204A87"/>
      <w:shd w:val="clear" w:color="auto" w:fill="F8F8F8"/>
    </w:rPr>
  </w:style>
  <w:style w:type="character" w:customStyle="1" w:styleId="DecValTok">
    <w:name w:val="DecValTok"/>
    <w:basedOn w:val="VerbatimChar"/>
    <w:rPr>
      <w:rFonts w:ascii="Courier New" w:hAnsi="Courier New" w:cs="Courier New"/>
      <w:color w:val="0000CF"/>
      <w:shd w:val="clear" w:color="auto" w:fill="F8F8F8"/>
    </w:rPr>
  </w:style>
  <w:style w:type="character" w:customStyle="1" w:styleId="BaseNTok">
    <w:name w:val="BaseNTok"/>
    <w:basedOn w:val="VerbatimChar"/>
    <w:rPr>
      <w:rFonts w:ascii="Courier New" w:hAnsi="Courier New" w:cs="Courier New"/>
      <w:color w:val="0000CF"/>
      <w:shd w:val="clear" w:color="auto" w:fill="F8F8F8"/>
    </w:rPr>
  </w:style>
  <w:style w:type="character" w:customStyle="1" w:styleId="FloatTok">
    <w:name w:val="FloatTok"/>
    <w:basedOn w:val="VerbatimChar"/>
    <w:rPr>
      <w:rFonts w:ascii="Courier New" w:hAnsi="Courier New" w:cs="Courier New"/>
      <w:color w:val="0000CF"/>
      <w:shd w:val="clear" w:color="auto" w:fill="F8F8F8"/>
    </w:rPr>
  </w:style>
  <w:style w:type="character" w:customStyle="1" w:styleId="ConstantTok">
    <w:name w:val="ConstantTok"/>
    <w:basedOn w:val="VerbatimChar"/>
    <w:rPr>
      <w:rFonts w:ascii="Courier New" w:hAnsi="Courier New" w:cs="Courier New"/>
      <w:color w:val="8F5902"/>
      <w:shd w:val="clear" w:color="auto" w:fill="F8F8F8"/>
    </w:rPr>
  </w:style>
  <w:style w:type="character" w:customStyle="1" w:styleId="CharTok">
    <w:name w:val="CharTok"/>
    <w:basedOn w:val="VerbatimChar"/>
    <w:rPr>
      <w:rFonts w:ascii="Courier New" w:hAnsi="Courier New" w:cs="Courier New"/>
      <w:color w:val="4E9A06"/>
      <w:shd w:val="clear" w:color="auto" w:fill="F8F8F8"/>
    </w:rPr>
  </w:style>
  <w:style w:type="character" w:customStyle="1" w:styleId="SpecialCharTok">
    <w:name w:val="SpecialCharTok"/>
    <w:basedOn w:val="VerbatimChar"/>
    <w:rPr>
      <w:rFonts w:ascii="Courier New" w:hAnsi="Courier New" w:cs="Courier New"/>
      <w:b/>
      <w:color w:val="CE5C00"/>
      <w:shd w:val="clear" w:color="auto" w:fill="F8F8F8"/>
    </w:rPr>
  </w:style>
  <w:style w:type="character" w:customStyle="1" w:styleId="StringTok">
    <w:name w:val="StringTok"/>
    <w:basedOn w:val="VerbatimChar"/>
    <w:rPr>
      <w:rFonts w:ascii="Courier New" w:hAnsi="Courier New" w:cs="Courier New"/>
      <w:color w:val="4E9A06"/>
      <w:shd w:val="clear" w:color="auto" w:fill="F8F8F8"/>
    </w:rPr>
  </w:style>
  <w:style w:type="character" w:customStyle="1" w:styleId="VerbatimStringTok">
    <w:name w:val="VerbatimStringTok"/>
    <w:basedOn w:val="VerbatimChar"/>
    <w:rPr>
      <w:rFonts w:ascii="Courier New" w:hAnsi="Courier New" w:cs="Courier New"/>
      <w:color w:val="4E9A06"/>
      <w:shd w:val="clear" w:color="auto" w:fill="F8F8F8"/>
    </w:rPr>
  </w:style>
  <w:style w:type="character" w:customStyle="1" w:styleId="SpecialStringTok">
    <w:name w:val="SpecialStringTok"/>
    <w:basedOn w:val="VerbatimChar"/>
    <w:rPr>
      <w:rFonts w:ascii="Courier New" w:hAnsi="Courier New" w:cs="Courier New"/>
      <w:color w:val="4E9A06"/>
      <w:shd w:val="clear" w:color="auto" w:fill="F8F8F8"/>
    </w:rPr>
  </w:style>
  <w:style w:type="character" w:customStyle="1" w:styleId="ImportTok">
    <w:name w:val="ImportTok"/>
    <w:basedOn w:val="VerbatimChar"/>
    <w:rPr>
      <w:rFonts w:ascii="Courier New" w:hAnsi="Courier New" w:cs="Courier New"/>
      <w:shd w:val="clear" w:color="auto" w:fill="F8F8F8"/>
    </w:rPr>
  </w:style>
  <w:style w:type="character" w:customStyle="1" w:styleId="CommentTok">
    <w:name w:val="CommentTok"/>
    <w:basedOn w:val="VerbatimChar"/>
    <w:rPr>
      <w:rFonts w:ascii="Courier New" w:hAnsi="Courier New" w:cs="Courier New"/>
      <w:i/>
      <w:color w:val="8F5902"/>
      <w:shd w:val="clear" w:color="auto" w:fill="F8F8F8"/>
    </w:rPr>
  </w:style>
  <w:style w:type="character" w:customStyle="1" w:styleId="DocumentationTok">
    <w:name w:val="DocumentationTok"/>
    <w:basedOn w:val="VerbatimChar"/>
    <w:rPr>
      <w:rFonts w:ascii="Courier New" w:hAnsi="Courier New" w:cs="Courier New"/>
      <w:b/>
      <w:i/>
      <w:color w:val="8F5902"/>
      <w:shd w:val="clear" w:color="auto" w:fill="F8F8F8"/>
    </w:rPr>
  </w:style>
  <w:style w:type="character" w:customStyle="1" w:styleId="AnnotationTok">
    <w:name w:val="AnnotationTok"/>
    <w:basedOn w:val="VerbatimChar"/>
    <w:rPr>
      <w:rFonts w:ascii="Courier New" w:hAnsi="Courier New" w:cs="Courier New"/>
      <w:b/>
      <w:i/>
      <w:color w:val="8F5902"/>
      <w:shd w:val="clear" w:color="auto" w:fill="F8F8F8"/>
    </w:rPr>
  </w:style>
  <w:style w:type="character" w:customStyle="1" w:styleId="CommentVarTok">
    <w:name w:val="CommentVarTok"/>
    <w:basedOn w:val="VerbatimChar"/>
    <w:rPr>
      <w:rFonts w:ascii="Courier New" w:hAnsi="Courier New" w:cs="Courier New"/>
      <w:b/>
      <w:i/>
      <w:color w:val="8F5902"/>
      <w:shd w:val="clear" w:color="auto" w:fill="F8F8F8"/>
    </w:rPr>
  </w:style>
  <w:style w:type="character" w:customStyle="1" w:styleId="OtherTok">
    <w:name w:val="OtherTok"/>
    <w:basedOn w:val="VerbatimChar"/>
    <w:rPr>
      <w:rFonts w:ascii="Courier New" w:hAnsi="Courier New" w:cs="Courier New"/>
      <w:color w:val="8F5902"/>
      <w:shd w:val="clear" w:color="auto" w:fill="F8F8F8"/>
    </w:rPr>
  </w:style>
  <w:style w:type="character" w:customStyle="1" w:styleId="FunctionTok">
    <w:name w:val="FunctionTok"/>
    <w:basedOn w:val="VerbatimChar"/>
    <w:rPr>
      <w:rFonts w:ascii="Courier New" w:hAnsi="Courier New" w:cs="Courier New"/>
      <w:b/>
      <w:color w:val="204A87"/>
      <w:shd w:val="clear" w:color="auto" w:fill="F8F8F8"/>
    </w:rPr>
  </w:style>
  <w:style w:type="character" w:customStyle="1" w:styleId="VariableTok">
    <w:name w:val="VariableTok"/>
    <w:basedOn w:val="VerbatimChar"/>
    <w:rPr>
      <w:rFonts w:ascii="Courier New" w:hAnsi="Courier New" w:cs="Courier New"/>
      <w:color w:val="000000"/>
      <w:shd w:val="clear" w:color="auto" w:fill="F8F8F8"/>
    </w:rPr>
  </w:style>
  <w:style w:type="character" w:customStyle="1" w:styleId="ControlFlowTok">
    <w:name w:val="ControlFlowTok"/>
    <w:basedOn w:val="VerbatimChar"/>
    <w:rPr>
      <w:rFonts w:ascii="Courier New" w:hAnsi="Courier New" w:cs="Courier New"/>
      <w:b/>
      <w:color w:val="204A87"/>
      <w:shd w:val="clear" w:color="auto" w:fill="F8F8F8"/>
    </w:rPr>
  </w:style>
  <w:style w:type="character" w:customStyle="1" w:styleId="OperatorTok">
    <w:name w:val="OperatorTok"/>
    <w:basedOn w:val="VerbatimChar"/>
    <w:rPr>
      <w:rFonts w:ascii="Courier New" w:hAnsi="Courier New" w:cs="Courier New"/>
      <w:b/>
      <w:color w:val="CE5C00"/>
      <w:shd w:val="clear" w:color="auto" w:fill="F8F8F8"/>
    </w:rPr>
  </w:style>
  <w:style w:type="character" w:customStyle="1" w:styleId="BuiltInTok">
    <w:name w:val="BuiltInTok"/>
    <w:basedOn w:val="VerbatimChar"/>
    <w:rPr>
      <w:rFonts w:ascii="Courier New" w:hAnsi="Courier New" w:cs="Courier New"/>
      <w:shd w:val="clear" w:color="auto" w:fill="F8F8F8"/>
    </w:rPr>
  </w:style>
  <w:style w:type="character" w:customStyle="1" w:styleId="ExtensionTok">
    <w:name w:val="ExtensionTok"/>
    <w:basedOn w:val="VerbatimChar"/>
    <w:rPr>
      <w:rFonts w:ascii="Courier New" w:hAnsi="Courier New" w:cs="Courier New"/>
      <w:shd w:val="clear" w:color="auto" w:fill="F8F8F8"/>
    </w:rPr>
  </w:style>
  <w:style w:type="character" w:customStyle="1" w:styleId="PreprocessorTok">
    <w:name w:val="PreprocessorTok"/>
    <w:basedOn w:val="VerbatimChar"/>
    <w:rPr>
      <w:rFonts w:ascii="Courier New" w:hAnsi="Courier New" w:cs="Courier New"/>
      <w:i/>
      <w:color w:val="8F5902"/>
      <w:shd w:val="clear" w:color="auto" w:fill="F8F8F8"/>
    </w:rPr>
  </w:style>
  <w:style w:type="character" w:customStyle="1" w:styleId="AttributeTok">
    <w:name w:val="AttributeTok"/>
    <w:basedOn w:val="VerbatimChar"/>
    <w:rPr>
      <w:rFonts w:ascii="Courier New" w:hAnsi="Courier New" w:cs="Courier New"/>
      <w:color w:val="204A87"/>
      <w:shd w:val="clear" w:color="auto" w:fill="F8F8F8"/>
    </w:rPr>
  </w:style>
  <w:style w:type="character" w:customStyle="1" w:styleId="RegionMarkerTok">
    <w:name w:val="RegionMarkerTok"/>
    <w:basedOn w:val="VerbatimChar"/>
    <w:rPr>
      <w:rFonts w:ascii="Courier New" w:hAnsi="Courier New" w:cs="Courier New"/>
      <w:shd w:val="clear" w:color="auto" w:fill="F8F8F8"/>
    </w:rPr>
  </w:style>
  <w:style w:type="character" w:customStyle="1" w:styleId="InformationTok">
    <w:name w:val="InformationTok"/>
    <w:basedOn w:val="VerbatimChar"/>
    <w:rPr>
      <w:rFonts w:ascii="Courier New" w:hAnsi="Courier New" w:cs="Courier New"/>
      <w:b/>
      <w:i/>
      <w:color w:val="8F5902"/>
      <w:shd w:val="clear" w:color="auto" w:fill="F8F8F8"/>
    </w:rPr>
  </w:style>
  <w:style w:type="character" w:customStyle="1" w:styleId="WarningTok">
    <w:name w:val="WarningTok"/>
    <w:basedOn w:val="VerbatimChar"/>
    <w:rPr>
      <w:rFonts w:ascii="Courier New" w:hAnsi="Courier New" w:cs="Courier New"/>
      <w:b/>
      <w:i/>
      <w:color w:val="8F5902"/>
      <w:shd w:val="clear" w:color="auto" w:fill="F8F8F8"/>
    </w:rPr>
  </w:style>
  <w:style w:type="character" w:customStyle="1" w:styleId="AlertTok">
    <w:name w:val="AlertTok"/>
    <w:basedOn w:val="VerbatimChar"/>
    <w:rPr>
      <w:rFonts w:ascii="Courier New" w:hAnsi="Courier New" w:cs="Courier New"/>
      <w:color w:val="EF2929"/>
      <w:shd w:val="clear" w:color="auto" w:fill="F8F8F8"/>
    </w:rPr>
  </w:style>
  <w:style w:type="character" w:customStyle="1" w:styleId="ErrorTok">
    <w:name w:val="ErrorTok"/>
    <w:basedOn w:val="VerbatimChar"/>
    <w:rPr>
      <w:rFonts w:ascii="Courier New" w:hAnsi="Courier New" w:cs="Courier New"/>
      <w:b/>
      <w:color w:val="A40000"/>
      <w:shd w:val="clear" w:color="auto" w:fill="F8F8F8"/>
    </w:rPr>
  </w:style>
  <w:style w:type="character" w:customStyle="1" w:styleId="NormalTok">
    <w:name w:val="NormalTok"/>
    <w:basedOn w:val="VerbatimChar"/>
    <w:rPr>
      <w:rFonts w:ascii="Courier New" w:hAnsi="Courier New" w:cs="Courier New"/>
      <w:shd w:val="clear" w:color="auto" w:fill="F8F8F8"/>
    </w:rPr>
  </w:style>
  <w:style w:type="paragraph" w:styleId="Header">
    <w:name w:val="header"/>
    <w:basedOn w:val="Normal"/>
    <w:link w:val="HeaderChar"/>
    <w:rsid w:val="00C159BC"/>
    <w:pPr>
      <w:tabs>
        <w:tab w:val="center" w:pos="4680"/>
        <w:tab w:val="right" w:pos="9360"/>
      </w:tabs>
      <w:spacing w:after="0"/>
    </w:pPr>
    <w:rPr>
      <w:rFonts w:ascii="Arial" w:hAnsi="Arial" w:cs="Arial"/>
      <w:b/>
      <w:bCs/>
      <w:noProof/>
      <w:color w:val="0067B9"/>
      <w:sz w:val="36"/>
      <w:szCs w:val="36"/>
      <w:bdr w:val="none" w:sz="0" w:space="0" w:color="auto" w:frame="1"/>
    </w:rPr>
  </w:style>
  <w:style w:type="character" w:customStyle="1" w:styleId="HeaderChar">
    <w:name w:val="Header Char"/>
    <w:basedOn w:val="DefaultParagraphFont"/>
    <w:link w:val="Header"/>
    <w:rsid w:val="00C159BC"/>
    <w:rPr>
      <w:rFonts w:ascii="Arial" w:hAnsi="Arial" w:cs="Arial"/>
      <w:b/>
      <w:bCs/>
      <w:noProof/>
      <w:color w:val="0067B9"/>
      <w:sz w:val="36"/>
      <w:szCs w:val="36"/>
      <w:bdr w:val="none" w:sz="0" w:space="0" w:color="auto" w:frame="1"/>
    </w:rPr>
  </w:style>
  <w:style w:type="paragraph" w:styleId="Footer">
    <w:name w:val="footer"/>
    <w:basedOn w:val="Normal"/>
    <w:link w:val="FooterChar"/>
    <w:uiPriority w:val="99"/>
    <w:rsid w:val="00890C82"/>
    <w:pPr>
      <w:tabs>
        <w:tab w:val="center" w:pos="4680"/>
        <w:tab w:val="right" w:pos="9360"/>
      </w:tabs>
      <w:spacing w:after="0"/>
      <w:jc w:val="center"/>
    </w:pPr>
    <w:rPr>
      <w:noProof/>
    </w:rPr>
  </w:style>
  <w:style w:type="character" w:customStyle="1" w:styleId="FooterCha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USAID Bangladesh Country Scorecard</dc:title>
  <dc:creator>FTF-PAE/ADL</dc:creator>
  <cp:keywords/>
  <cp:lastModifiedBy>Thomas, Ryan (RFS/PA)</cp:lastModifiedBy>
  <cp:revision>28</cp:revision>
  <dcterms:created xsi:type="dcterms:W3CDTF">2024-04-03T13:44:00Z</dcterms:created>
  <dcterms:modified xsi:type="dcterms:W3CDTF">2024-05-22T18:21:00Z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generated: 2024-04-02</vt:lpwstr>
  </property>
  <property fmtid="{D5CDD505-2E9C-101B-9397-08002B2CF9AE}" pid="3" name="output">
    <vt:lpwstr/>
  </property>
  <property fmtid="{D5CDD505-2E9C-101B-9397-08002B2CF9AE}" pid="4" name="params">
    <vt:lpwstr/>
  </property>
</Properties>
</file>