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0BA" w:rsidRPr="006D541C" w:rsidRDefault="006E40BA" w:rsidP="006E40BA">
      <w:pPr>
        <w:pStyle w:val="Sraopastraipa"/>
        <w:numPr>
          <w:ilvl w:val="0"/>
          <w:numId w:val="2"/>
        </w:numPr>
        <w:tabs>
          <w:tab w:val="clear" w:pos="1080"/>
        </w:tabs>
        <w:ind w:left="0" w:right="-6" w:firstLine="720"/>
        <w:jc w:val="both"/>
      </w:pPr>
      <w:r w:rsidRPr="006D541C">
        <w:rPr>
          <w:b/>
        </w:rPr>
        <w:t xml:space="preserve">Citavimas, nuorodos. </w:t>
      </w:r>
      <w:r w:rsidRPr="006D541C">
        <w:t>C</w:t>
      </w:r>
      <w:r w:rsidRPr="006D541C">
        <w:rPr>
          <w:iCs/>
        </w:rPr>
        <w:t>ituojamas</w:t>
      </w:r>
      <w:r w:rsidRPr="006D541C">
        <w:rPr>
          <w:i/>
          <w:iCs/>
        </w:rPr>
        <w:t xml:space="preserve"> </w:t>
      </w:r>
      <w:r w:rsidRPr="006D541C">
        <w:rPr>
          <w:iCs/>
        </w:rPr>
        <w:t>gali būti</w:t>
      </w:r>
      <w:r w:rsidRPr="006D541C">
        <w:rPr>
          <w:i/>
          <w:iCs/>
        </w:rPr>
        <w:t xml:space="preserve"> </w:t>
      </w:r>
      <w:r w:rsidRPr="006D541C">
        <w:rPr>
          <w:iCs/>
        </w:rPr>
        <w:t>tik viešai išleistas ar kitaip viešai paskelbtas kūrinys</w:t>
      </w:r>
      <w:r w:rsidRPr="006D541C">
        <w:t>, būtina su juo elgtis korektiškai, neiškreipti svetimų minčių. Rašomas darbas turi būti savarankiškas, originalus, o ištraukos iš svetimo kūrinio cituojamos taip, kad padėtų plėtoti temą ir parodytų, kaip autorius yra su ja susipažinęs: ar naudoja tinkamus informacijos šaltinius, ar gali jais pagrįsti analizuojamas idėjas, mintis,</w:t>
      </w:r>
      <w:r w:rsidRPr="006D541C">
        <w:rPr>
          <w:b/>
        </w:rPr>
        <w:t xml:space="preserve"> </w:t>
      </w:r>
      <w:r w:rsidRPr="006D541C">
        <w:t xml:space="preserve">faktus. </w:t>
      </w:r>
      <w:r w:rsidRPr="006D541C">
        <w:rPr>
          <w:iCs/>
        </w:rPr>
        <w:t>Naudojant kito autoriaus originalias idėjas, mintis, faktus,</w:t>
      </w:r>
      <w:r w:rsidRPr="006D541C">
        <w:t xml:space="preserve"> darbo tekste turi būti </w:t>
      </w:r>
      <w:r w:rsidRPr="006D541C">
        <w:rPr>
          <w:iCs/>
        </w:rPr>
        <w:t>nurodoma, kieno jos yra ir iš kokio informacijos šaltinio paimtos. D</w:t>
      </w:r>
      <w:r w:rsidRPr="006D541C">
        <w:rPr>
          <w:bCs/>
        </w:rPr>
        <w:t xml:space="preserve">arbe turi būti aišku, kur yra darbo autoriaus mintys, o kur kitų autorių mintys, rastos jų knygose, mokslo žurnalų straipsniuose, elektroniniuose ištekliuose; todėl naudojamos </w:t>
      </w:r>
      <w:r w:rsidRPr="006D541C">
        <w:rPr>
          <w:b/>
          <w:bCs/>
        </w:rPr>
        <w:t>citatos</w:t>
      </w:r>
      <w:r w:rsidRPr="006D541C">
        <w:rPr>
          <w:bCs/>
        </w:rPr>
        <w:t>:</w:t>
      </w:r>
      <w:r w:rsidRPr="006D541C">
        <w:t xml:space="preserve"> </w:t>
      </w:r>
      <w:r w:rsidRPr="006D541C">
        <w:rPr>
          <w:i/>
        </w:rPr>
        <w:t>„&lt;...&gt; rašytinio veikalo arba kalbos ištrauka kito teksto samprotavimui pagrįsti ar patvirtinti</w:t>
      </w:r>
      <w:r w:rsidRPr="006D541C">
        <w:t xml:space="preserve">“ yra vadinama citata (Tarptautinių žodžių žodynas, 2005, </w:t>
      </w:r>
      <w:proofErr w:type="spellStart"/>
      <w:r w:rsidRPr="006D541C">
        <w:t>p</w:t>
      </w:r>
      <w:proofErr w:type="spellEnd"/>
      <w:r w:rsidRPr="006D541C">
        <w:t>. 138). Pažodinės citatos rašomos kabutėse</w:t>
      </w:r>
      <w:r w:rsidRPr="006D541C">
        <w:rPr>
          <w:b/>
        </w:rPr>
        <w:t xml:space="preserve"> </w:t>
      </w:r>
      <w:r w:rsidRPr="006D541C">
        <w:t>ir šriftu neišsiskiria iš teksto</w:t>
      </w:r>
      <w:r w:rsidRPr="006D541C">
        <w:rPr>
          <w:b/>
        </w:rPr>
        <w:t>.</w:t>
      </w:r>
      <w:r w:rsidRPr="006D541C">
        <w:t xml:space="preserve"> Ilgesnės, kelių eilučių pažodinės citatos rašomos iš naujos eilutės kaip nauja pastraipa, paliekant po tuščią eilutę viršuje ir apačioje, atitraukus tekstą nuo kairiojo krašto; šiuo atveju kabutės nerašomos. Jei cituojant praleidžiamas žodis ar keli žodžiai, sakinys ar keli sakiniai, praleista vieta pažymima taip: &lt;...&gt;, </w:t>
      </w:r>
      <w:proofErr w:type="spellStart"/>
      <w:r w:rsidRPr="006D541C">
        <w:t>pvz</w:t>
      </w:r>
      <w:proofErr w:type="spellEnd"/>
      <w:r w:rsidRPr="006D541C">
        <w:t>.: V. Daujotytė teigia, kad „</w:t>
      </w:r>
      <w:r w:rsidRPr="006D541C">
        <w:rPr>
          <w:i/>
        </w:rPr>
        <w:t>K. Donelaitis &lt;...&gt; atsirado ne mažaraštėje tautoje, o stiprios, gyvybingos lietuvių kalbos terpėje, jaučiant ilgaamžę Europos kultūros tradiciją</w:t>
      </w:r>
      <w:r w:rsidRPr="006D541C">
        <w:t xml:space="preserve">“ (Daujotytė, 2013). Vis dėlto patariama per daug nepiktnaudžiauti pažodinėmis mokslininkų citatomis, jeigu tai nėra būtina. </w:t>
      </w:r>
      <w:r w:rsidRPr="006D541C">
        <w:rPr>
          <w:bCs/>
        </w:rPr>
        <w:t xml:space="preserve">Kitų autorių idėjas, mintis, faktus, kuriais norima pagrįsti savo rašto darbo idėjas, mintis, faktus, galima ir perfrazuoti (perpasakoti) kitais žodžiais, vartojant sinonimiškus žodžius, keičiant sakinyje žodžių tvarką, teigiamą formą – neigiama ir </w:t>
      </w:r>
      <w:proofErr w:type="spellStart"/>
      <w:r w:rsidRPr="006D541C">
        <w:rPr>
          <w:bCs/>
        </w:rPr>
        <w:t>pan</w:t>
      </w:r>
      <w:proofErr w:type="spellEnd"/>
      <w:r w:rsidRPr="006D541C">
        <w:rPr>
          <w:bCs/>
        </w:rPr>
        <w:t>.</w:t>
      </w:r>
      <w:r w:rsidRPr="006D541C">
        <w:rPr>
          <w:b/>
          <w:bCs/>
        </w:rPr>
        <w:t xml:space="preserve"> </w:t>
      </w:r>
      <w:r w:rsidRPr="006D541C">
        <w:rPr>
          <w:bCs/>
        </w:rPr>
        <w:t xml:space="preserve">Perpasakojimas tinkamas būdas, kai darbe pateikiamos kelių informacijos šaltinių idėjos, faktai, jie lyginami, apibendrinami. Kai naudojamas šis citavimo  būdas, autoriaus vardas ir šaltinis, iš kurio paimtos idėjos ir faktai, taip pat nurodomi teksto nuorodoje ir </w:t>
      </w:r>
      <w:r w:rsidRPr="006D541C">
        <w:t>darbo literatūros ir kitų informacijos šaltinių sąraše.</w:t>
      </w:r>
    </w:p>
    <w:p w:rsidR="006E40BA" w:rsidRPr="006D541C" w:rsidRDefault="006E40BA" w:rsidP="006E40BA">
      <w:pPr>
        <w:pStyle w:val="Default"/>
        <w:numPr>
          <w:ilvl w:val="0"/>
          <w:numId w:val="2"/>
        </w:numPr>
        <w:tabs>
          <w:tab w:val="clear" w:pos="1080"/>
          <w:tab w:val="num" w:pos="1276"/>
        </w:tabs>
        <w:ind w:left="0" w:firstLine="709"/>
        <w:rPr>
          <w:rFonts w:ascii="Times New Roman" w:hAnsi="Times New Roman" w:cs="Times New Roman"/>
          <w:b/>
          <w:i/>
          <w:color w:val="auto"/>
        </w:rPr>
      </w:pPr>
      <w:r w:rsidRPr="006D541C">
        <w:rPr>
          <w:rFonts w:ascii="Times New Roman" w:hAnsi="Times New Roman" w:cs="Times New Roman"/>
          <w:color w:val="auto"/>
        </w:rPr>
        <w:t xml:space="preserve">Pateikiame citavimo tekste nuorodų bei literatūros ir kitų informacijos šaltinių sąraše pateikimo pavyzdžių (Citavimo nuorodų tekste stilius, kitaip dar yra vadinamas </w:t>
      </w:r>
      <w:proofErr w:type="spellStart"/>
      <w:r w:rsidRPr="006D541C">
        <w:rPr>
          <w:rFonts w:ascii="Times New Roman" w:hAnsi="Times New Roman" w:cs="Times New Roman"/>
          <w:color w:val="auto"/>
        </w:rPr>
        <w:t>Harvardo</w:t>
      </w:r>
      <w:proofErr w:type="spellEnd"/>
      <w:r w:rsidRPr="006D541C">
        <w:rPr>
          <w:rFonts w:ascii="Times New Roman" w:hAnsi="Times New Roman" w:cs="Times New Roman"/>
          <w:color w:val="auto"/>
        </w:rPr>
        <w:t xml:space="preserve"> citavimo stiliumi, pasirinktas iš standarto </w:t>
      </w:r>
      <w:r w:rsidRPr="006D541C">
        <w:rPr>
          <w:rFonts w:ascii="Times New Roman" w:hAnsi="Times New Roman" w:cs="Times New Roman"/>
          <w:i/>
          <w:iCs/>
          <w:color w:val="auto"/>
        </w:rPr>
        <w:t>LST ISO 690:2010 Informacija ir dokumentavimas. Bibliografinių nuorodų ir informacijos išteklių citavimo gairės</w:t>
      </w:r>
      <w:r w:rsidRPr="006D541C">
        <w:rPr>
          <w:rFonts w:ascii="Times New Roman" w:hAnsi="Times New Roman" w:cs="Times New Roman"/>
          <w:iCs/>
          <w:color w:val="auto"/>
        </w:rPr>
        <w:t>):</w:t>
      </w:r>
    </w:p>
    <w:p w:rsidR="006E40BA" w:rsidRPr="006D541C" w:rsidRDefault="006E40BA" w:rsidP="006E40BA">
      <w:pPr>
        <w:pStyle w:val="Sraopastraipa"/>
        <w:numPr>
          <w:ilvl w:val="1"/>
          <w:numId w:val="2"/>
        </w:numPr>
        <w:tabs>
          <w:tab w:val="clear" w:pos="1140"/>
        </w:tabs>
        <w:ind w:left="0" w:firstLine="720"/>
        <w:jc w:val="both"/>
        <w:rPr>
          <w:rStyle w:val="hps"/>
        </w:rPr>
      </w:pPr>
      <w:r w:rsidRPr="006D541C">
        <w:rPr>
          <w:rStyle w:val="hps"/>
        </w:rPr>
        <w:t>Perfrazuojant kitų autorių mintis darbo teksto nuorodoje nurodomas cituojamo informacijos šaltinio</w:t>
      </w:r>
      <w:r w:rsidRPr="006D541C">
        <w:t xml:space="preserve"> </w:t>
      </w:r>
      <w:r w:rsidRPr="006D541C">
        <w:rPr>
          <w:rStyle w:val="hps"/>
        </w:rPr>
        <w:t>autorius ir</w:t>
      </w:r>
      <w:r w:rsidRPr="006D541C">
        <w:t xml:space="preserve"> </w:t>
      </w:r>
      <w:r w:rsidRPr="006D541C">
        <w:rPr>
          <w:rStyle w:val="hps"/>
        </w:rPr>
        <w:t>išleidimo metai: jeigu</w:t>
      </w:r>
      <w:r w:rsidRPr="006D541C">
        <w:t xml:space="preserve"> </w:t>
      </w:r>
      <w:r w:rsidRPr="006D541C">
        <w:rPr>
          <w:rStyle w:val="hps"/>
        </w:rPr>
        <w:t>autoriaus</w:t>
      </w:r>
      <w:r w:rsidRPr="006D541C">
        <w:t xml:space="preserve"> </w:t>
      </w:r>
      <w:r w:rsidRPr="006D541C">
        <w:rPr>
          <w:rStyle w:val="hps"/>
        </w:rPr>
        <w:t>pavardė</w:t>
      </w:r>
      <w:r w:rsidRPr="006D541C">
        <w:t xml:space="preserve"> darbo </w:t>
      </w:r>
      <w:r w:rsidRPr="006D541C">
        <w:rPr>
          <w:rStyle w:val="hps"/>
        </w:rPr>
        <w:t>sakinyje</w:t>
      </w:r>
      <w:r w:rsidRPr="006D541C">
        <w:t xml:space="preserve"> pa</w:t>
      </w:r>
      <w:r w:rsidRPr="006D541C">
        <w:rPr>
          <w:rStyle w:val="hps"/>
        </w:rPr>
        <w:t>minima</w:t>
      </w:r>
      <w:r w:rsidRPr="006D541C">
        <w:t xml:space="preserve">, </w:t>
      </w:r>
      <w:r w:rsidRPr="006D541C">
        <w:rPr>
          <w:rStyle w:val="hps"/>
        </w:rPr>
        <w:t>metai</w:t>
      </w:r>
      <w:r w:rsidRPr="006D541C">
        <w:t xml:space="preserve"> nurodomi po pavardės </w:t>
      </w:r>
      <w:r w:rsidRPr="006D541C">
        <w:rPr>
          <w:rStyle w:val="hps"/>
        </w:rPr>
        <w:t>skliausteliuose</w:t>
      </w:r>
      <w:r w:rsidRPr="006D541C">
        <w:t xml:space="preserve">, </w:t>
      </w:r>
      <w:r w:rsidRPr="006D541C">
        <w:rPr>
          <w:rStyle w:val="hps"/>
        </w:rPr>
        <w:t>jeigu nepaminima,</w:t>
      </w:r>
      <w:r w:rsidRPr="006D541C">
        <w:t xml:space="preserve"> </w:t>
      </w:r>
      <w:r w:rsidRPr="006D541C">
        <w:rPr>
          <w:rStyle w:val="hps"/>
        </w:rPr>
        <w:t>ir</w:t>
      </w:r>
      <w:r w:rsidRPr="006D541C">
        <w:t xml:space="preserve"> </w:t>
      </w:r>
      <w:r w:rsidRPr="006D541C">
        <w:rPr>
          <w:rStyle w:val="hps"/>
        </w:rPr>
        <w:t>pavardė, ir</w:t>
      </w:r>
      <w:r w:rsidRPr="006D541C">
        <w:t xml:space="preserve"> </w:t>
      </w:r>
      <w:r w:rsidRPr="006D541C">
        <w:rPr>
          <w:rStyle w:val="hps"/>
        </w:rPr>
        <w:t>metai</w:t>
      </w:r>
      <w:r w:rsidRPr="006D541C">
        <w:t xml:space="preserve"> </w:t>
      </w:r>
      <w:r w:rsidRPr="006D541C">
        <w:rPr>
          <w:rStyle w:val="hps"/>
        </w:rPr>
        <w:t>rašomi</w:t>
      </w:r>
      <w:r w:rsidRPr="006D541C">
        <w:t xml:space="preserve"> </w:t>
      </w:r>
      <w:r w:rsidRPr="006D541C">
        <w:rPr>
          <w:rStyle w:val="hps"/>
        </w:rPr>
        <w:t xml:space="preserve">skliausteliuose. </w:t>
      </w:r>
      <w:r w:rsidRPr="006D541C">
        <w:t xml:space="preserve">Cituojant tiksliai, pažodžiui (kabutėse), informacijos šaltinio citatos (frazės, sakiniai, neilgos pastraipos ir </w:t>
      </w:r>
      <w:proofErr w:type="spellStart"/>
      <w:r w:rsidRPr="006D541C">
        <w:t>pan</w:t>
      </w:r>
      <w:proofErr w:type="spellEnd"/>
      <w:r w:rsidRPr="006D541C">
        <w:t>.) nurodomos skliausteliuose, parašant metus ir puslapį.</w:t>
      </w:r>
      <w:r w:rsidRPr="006D541C">
        <w:rPr>
          <w:rStyle w:val="hps"/>
        </w:rPr>
        <w:t xml:space="preserve"> Jeigu daugiau kaip du</w:t>
      </w:r>
      <w:r w:rsidRPr="006D541C">
        <w:t xml:space="preserve"> </w:t>
      </w:r>
      <w:r w:rsidRPr="006D541C">
        <w:rPr>
          <w:rStyle w:val="hps"/>
        </w:rPr>
        <w:t>to</w:t>
      </w:r>
      <w:r w:rsidRPr="006D541C">
        <w:t xml:space="preserve"> </w:t>
      </w:r>
      <w:r w:rsidRPr="006D541C">
        <w:rPr>
          <w:rStyle w:val="hps"/>
        </w:rPr>
        <w:t>paties</w:t>
      </w:r>
      <w:r w:rsidRPr="006D541C">
        <w:t xml:space="preserve"> </w:t>
      </w:r>
      <w:r w:rsidRPr="006D541C">
        <w:rPr>
          <w:rStyle w:val="hps"/>
        </w:rPr>
        <w:t>autoriaus</w:t>
      </w:r>
      <w:r w:rsidRPr="006D541C">
        <w:t xml:space="preserve"> </w:t>
      </w:r>
      <w:r w:rsidRPr="006D541C">
        <w:rPr>
          <w:rStyle w:val="hps"/>
        </w:rPr>
        <w:t>informacijos šaltiniai</w:t>
      </w:r>
      <w:r w:rsidRPr="006D541C">
        <w:t xml:space="preserve"> </w:t>
      </w:r>
      <w:r w:rsidRPr="006D541C">
        <w:rPr>
          <w:rStyle w:val="hps"/>
        </w:rPr>
        <w:t>yra išleisti tais pačiais metais</w:t>
      </w:r>
      <w:r w:rsidRPr="006D541C">
        <w:t>, prie metų skliausteliuose parašoma</w:t>
      </w:r>
      <w:r w:rsidRPr="006D541C">
        <w:rPr>
          <w:rStyle w:val="hps"/>
        </w:rPr>
        <w:t xml:space="preserve">  mažoji raidė</w:t>
      </w:r>
      <w:r w:rsidRPr="006D541C">
        <w:t xml:space="preserve"> </w:t>
      </w:r>
      <w:r w:rsidRPr="006D541C">
        <w:rPr>
          <w:rStyle w:val="hps"/>
        </w:rPr>
        <w:t>(a, b</w:t>
      </w:r>
      <w:r w:rsidRPr="006D541C">
        <w:t xml:space="preserve">, c </w:t>
      </w:r>
      <w:r w:rsidRPr="006D541C">
        <w:rPr>
          <w:rStyle w:val="hps"/>
        </w:rPr>
        <w:t>ir t. t.).</w:t>
      </w:r>
    </w:p>
    <w:p w:rsidR="006E40BA" w:rsidRPr="006D541C" w:rsidRDefault="006E40BA" w:rsidP="006E40BA">
      <w:pPr>
        <w:ind w:firstLine="709"/>
        <w:jc w:val="both"/>
        <w:rPr>
          <w:rFonts w:ascii="Times New Roman" w:hAnsi="Times New Roman" w:cs="Times New Roman"/>
          <w:sz w:val="24"/>
          <w:szCs w:val="24"/>
        </w:rPr>
      </w:pPr>
      <w:r w:rsidRPr="006D541C">
        <w:rPr>
          <w:rFonts w:ascii="Times New Roman" w:hAnsi="Times New Roman" w:cs="Times New Roman"/>
          <w:i/>
          <w:sz w:val="24"/>
          <w:szCs w:val="24"/>
        </w:rPr>
        <w:t>Pavyzdžiai</w:t>
      </w:r>
      <w:r w:rsidRPr="006D541C">
        <w:rPr>
          <w:rFonts w:ascii="Times New Roman" w:hAnsi="Times New Roman" w:cs="Times New Roman"/>
          <w:sz w:val="24"/>
          <w:szCs w:val="24"/>
        </w:rPr>
        <w:t>:</w:t>
      </w:r>
    </w:p>
    <w:p w:rsidR="006E40BA" w:rsidRPr="006D541C" w:rsidRDefault="006E40BA" w:rsidP="006E40BA">
      <w:pPr>
        <w:pBdr>
          <w:top w:val="single" w:sz="4" w:space="1" w:color="auto"/>
          <w:left w:val="single" w:sz="4" w:space="4" w:color="auto"/>
          <w:bottom w:val="single" w:sz="4" w:space="1" w:color="auto"/>
          <w:right w:val="single" w:sz="4" w:space="4" w:color="auto"/>
        </w:pBdr>
        <w:ind w:firstLine="709"/>
        <w:jc w:val="both"/>
        <w:rPr>
          <w:rFonts w:ascii="Times New Roman" w:hAnsi="Times New Roman" w:cs="Times New Roman"/>
          <w:sz w:val="24"/>
          <w:szCs w:val="24"/>
        </w:rPr>
      </w:pPr>
      <w:r w:rsidRPr="006D541C">
        <w:rPr>
          <w:rStyle w:val="hps"/>
          <w:rFonts w:ascii="Times New Roman" w:hAnsi="Times New Roman" w:cs="Times New Roman"/>
          <w:sz w:val="24"/>
          <w:szCs w:val="24"/>
        </w:rPr>
        <w:t>Baublio (2014) pateikti pavyzdžiai įrodo šį teiginį.</w:t>
      </w:r>
    </w:p>
    <w:p w:rsidR="006E40BA" w:rsidRPr="006D541C" w:rsidRDefault="006E40BA" w:rsidP="006E40BA">
      <w:pPr>
        <w:pBdr>
          <w:top w:val="single" w:sz="4" w:space="1" w:color="auto"/>
          <w:left w:val="single" w:sz="4" w:space="4" w:color="auto"/>
          <w:bottom w:val="single" w:sz="4" w:space="1" w:color="auto"/>
          <w:right w:val="single" w:sz="4" w:space="4" w:color="auto"/>
        </w:pBdr>
        <w:ind w:firstLine="709"/>
        <w:jc w:val="both"/>
        <w:rPr>
          <w:rStyle w:val="hps"/>
          <w:rFonts w:ascii="Times New Roman" w:hAnsi="Times New Roman" w:cs="Times New Roman"/>
          <w:sz w:val="24"/>
          <w:szCs w:val="24"/>
        </w:rPr>
      </w:pPr>
      <w:r w:rsidRPr="006D541C">
        <w:rPr>
          <w:rStyle w:val="hps"/>
          <w:rFonts w:ascii="Times New Roman" w:hAnsi="Times New Roman" w:cs="Times New Roman"/>
          <w:sz w:val="24"/>
          <w:szCs w:val="24"/>
        </w:rPr>
        <w:t>Antrame skyriuje (Baublys, 2014) pateikti pavyzdžiai įrodo šį teiginį.</w:t>
      </w:r>
    </w:p>
    <w:p w:rsidR="006E40BA" w:rsidRPr="006D541C" w:rsidRDefault="006E40BA" w:rsidP="006E40BA">
      <w:pPr>
        <w:pBdr>
          <w:top w:val="single" w:sz="4" w:space="1" w:color="auto"/>
          <w:left w:val="single" w:sz="4" w:space="4" w:color="auto"/>
          <w:bottom w:val="single" w:sz="4" w:space="1" w:color="auto"/>
          <w:right w:val="single" w:sz="4" w:space="4" w:color="auto"/>
        </w:pBdr>
        <w:ind w:firstLine="709"/>
        <w:jc w:val="both"/>
        <w:rPr>
          <w:rStyle w:val="hps"/>
          <w:rFonts w:ascii="Times New Roman" w:hAnsi="Times New Roman" w:cs="Times New Roman"/>
          <w:sz w:val="24"/>
          <w:szCs w:val="24"/>
        </w:rPr>
      </w:pPr>
      <w:r w:rsidRPr="006D541C">
        <w:rPr>
          <w:rStyle w:val="hps"/>
          <w:rFonts w:ascii="Times New Roman" w:hAnsi="Times New Roman" w:cs="Times New Roman"/>
          <w:sz w:val="24"/>
          <w:szCs w:val="24"/>
        </w:rPr>
        <w:t xml:space="preserve"> „Šis teiginys įrodomas, atlikus pavyzdžių analizę &lt;...&gt;“ (Baublys, 2014, </w:t>
      </w:r>
      <w:proofErr w:type="spellStart"/>
      <w:r w:rsidRPr="006D541C">
        <w:rPr>
          <w:rStyle w:val="hps"/>
          <w:rFonts w:ascii="Times New Roman" w:hAnsi="Times New Roman" w:cs="Times New Roman"/>
          <w:sz w:val="24"/>
          <w:szCs w:val="24"/>
        </w:rPr>
        <w:t>p</w:t>
      </w:r>
      <w:proofErr w:type="spellEnd"/>
      <w:r w:rsidRPr="006D541C">
        <w:rPr>
          <w:rStyle w:val="hps"/>
          <w:rFonts w:ascii="Times New Roman" w:hAnsi="Times New Roman" w:cs="Times New Roman"/>
          <w:sz w:val="24"/>
          <w:szCs w:val="24"/>
        </w:rPr>
        <w:t>. 55).</w:t>
      </w:r>
    </w:p>
    <w:p w:rsidR="006E40BA" w:rsidRPr="006D541C" w:rsidRDefault="006E40BA" w:rsidP="006E40BA">
      <w:pPr>
        <w:pBdr>
          <w:top w:val="single" w:sz="4" w:space="1" w:color="auto"/>
          <w:left w:val="single" w:sz="4" w:space="4" w:color="auto"/>
          <w:bottom w:val="single" w:sz="4" w:space="1" w:color="auto"/>
          <w:right w:val="single" w:sz="4" w:space="4" w:color="auto"/>
        </w:pBdr>
        <w:ind w:firstLine="709"/>
        <w:jc w:val="both"/>
        <w:rPr>
          <w:rStyle w:val="hps"/>
          <w:rFonts w:ascii="Times New Roman" w:hAnsi="Times New Roman" w:cs="Times New Roman"/>
          <w:sz w:val="24"/>
          <w:szCs w:val="24"/>
        </w:rPr>
      </w:pPr>
      <w:r w:rsidRPr="006D541C">
        <w:rPr>
          <w:rStyle w:val="hps"/>
          <w:rFonts w:ascii="Times New Roman" w:hAnsi="Times New Roman" w:cs="Times New Roman"/>
          <w:sz w:val="24"/>
          <w:szCs w:val="24"/>
        </w:rPr>
        <w:t>Telksnienė (</w:t>
      </w:r>
      <w:r w:rsidRPr="006D541C">
        <w:rPr>
          <w:rStyle w:val="hps"/>
          <w:rFonts w:ascii="Times New Roman" w:hAnsi="Times New Roman" w:cs="Times New Roman"/>
          <w:sz w:val="24"/>
          <w:szCs w:val="24"/>
          <w:lang w:val="en-US"/>
        </w:rPr>
        <w:t>2010a</w:t>
      </w:r>
      <w:r w:rsidRPr="006D541C">
        <w:rPr>
          <w:rStyle w:val="hps"/>
          <w:rFonts w:ascii="Times New Roman" w:hAnsi="Times New Roman" w:cs="Times New Roman"/>
          <w:sz w:val="24"/>
          <w:szCs w:val="24"/>
        </w:rPr>
        <w:t>) aiškina teksto kūrimo būdus.</w:t>
      </w:r>
    </w:p>
    <w:p w:rsidR="006E40BA" w:rsidRPr="006D541C" w:rsidRDefault="006E40BA" w:rsidP="006E40BA">
      <w:pPr>
        <w:pStyle w:val="Default"/>
        <w:ind w:firstLine="709"/>
        <w:jc w:val="both"/>
        <w:rPr>
          <w:rFonts w:ascii="Times New Roman" w:hAnsi="Times New Roman" w:cs="Times New Roman"/>
          <w:color w:val="auto"/>
        </w:rPr>
      </w:pPr>
    </w:p>
    <w:p w:rsidR="006E40BA" w:rsidRPr="006D541C" w:rsidRDefault="006E40BA" w:rsidP="006E40BA">
      <w:pPr>
        <w:pStyle w:val="Sraopastraipa"/>
        <w:numPr>
          <w:ilvl w:val="1"/>
          <w:numId w:val="2"/>
        </w:numPr>
        <w:tabs>
          <w:tab w:val="clear" w:pos="1140"/>
        </w:tabs>
        <w:ind w:left="0" w:firstLine="720"/>
        <w:jc w:val="both"/>
        <w:rPr>
          <w:rStyle w:val="hps"/>
        </w:rPr>
      </w:pPr>
      <w:r w:rsidRPr="006D541C">
        <w:rPr>
          <w:rStyle w:val="hps"/>
        </w:rPr>
        <w:t>Autorių, kurio mintimis remiamasi, teksto sakiniuose galima paminėti vartojant įvairius veiksmažodžius, o literatūros ir kitų informacijos šaltinių sąraše rašto darbo pabaigoje nurodyti taip:</w:t>
      </w:r>
    </w:p>
    <w:p w:rsidR="006E40BA" w:rsidRPr="006D541C" w:rsidRDefault="006E40BA" w:rsidP="006E40BA">
      <w:pPr>
        <w:rPr>
          <w:rFonts w:ascii="Times New Roman" w:hAnsi="Times New Roman" w:cs="Times New Roman"/>
          <w:i/>
          <w:sz w:val="24"/>
          <w:szCs w:val="24"/>
        </w:rPr>
      </w:pPr>
    </w:p>
    <w:p w:rsidR="006E40BA" w:rsidRPr="006D541C" w:rsidRDefault="006E40BA" w:rsidP="006E40BA">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w:t>
      </w:r>
      <w:r w:rsidRPr="006D541C">
        <w:rPr>
          <w:rFonts w:ascii="Times New Roman" w:hAnsi="Times New Roman" w:cs="Times New Roman"/>
          <w:b/>
          <w:sz w:val="24"/>
          <w:szCs w:val="24"/>
        </w:rPr>
        <w:t xml:space="preserve"> </w:t>
      </w:r>
      <w:r w:rsidRPr="006D541C">
        <w:rPr>
          <w:rFonts w:ascii="Times New Roman" w:hAnsi="Times New Roman" w:cs="Times New Roman"/>
          <w:b/>
          <w:i/>
          <w:sz w:val="24"/>
          <w:szCs w:val="24"/>
        </w:rPr>
        <w:t>vienas autorius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21"/>
      </w:tblGrid>
      <w:tr w:rsidR="006E40BA" w:rsidRPr="006D541C" w:rsidTr="00FE0B89">
        <w:tc>
          <w:tcPr>
            <w:tcW w:w="4808"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4821"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E40BA" w:rsidRPr="006D541C" w:rsidTr="00FE0B89">
        <w:tc>
          <w:tcPr>
            <w:tcW w:w="4808"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proofErr w:type="spellStart"/>
            <w:r w:rsidRPr="006D541C">
              <w:rPr>
                <w:rFonts w:ascii="Times New Roman" w:hAnsi="Times New Roman" w:cs="Times New Roman"/>
                <w:sz w:val="24"/>
                <w:szCs w:val="24"/>
              </w:rPr>
              <w:t>Poliakovas</w:t>
            </w:r>
            <w:proofErr w:type="spellEnd"/>
            <w:r w:rsidRPr="006D541C">
              <w:rPr>
                <w:rFonts w:ascii="Times New Roman" w:hAnsi="Times New Roman" w:cs="Times New Roman"/>
                <w:sz w:val="24"/>
                <w:szCs w:val="24"/>
              </w:rPr>
              <w:t xml:space="preserve"> (2008, </w:t>
            </w:r>
            <w:proofErr w:type="spellStart"/>
            <w:r w:rsidRPr="006D541C">
              <w:rPr>
                <w:rFonts w:ascii="Times New Roman" w:hAnsi="Times New Roman" w:cs="Times New Roman"/>
                <w:sz w:val="24"/>
                <w:szCs w:val="24"/>
              </w:rPr>
              <w:t>p</w:t>
            </w:r>
            <w:proofErr w:type="spellEnd"/>
            <w:r w:rsidRPr="006D541C">
              <w:rPr>
                <w:rFonts w:ascii="Times New Roman" w:hAnsi="Times New Roman" w:cs="Times New Roman"/>
                <w:sz w:val="24"/>
                <w:szCs w:val="24"/>
              </w:rPr>
              <w:t xml:space="preserve">. 20) teigia, kad „rekonstruoti išnykusias indoeuropiečių kalbų </w:t>
            </w:r>
            <w:r w:rsidRPr="006D541C">
              <w:rPr>
                <w:rFonts w:ascii="Times New Roman" w:hAnsi="Times New Roman" w:cs="Times New Roman"/>
                <w:sz w:val="24"/>
                <w:szCs w:val="24"/>
              </w:rPr>
              <w:lastRenderedPageBreak/>
              <w:t>formas padeda lietuvių kalba“.</w:t>
            </w:r>
          </w:p>
        </w:tc>
        <w:tc>
          <w:tcPr>
            <w:tcW w:w="4821"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lastRenderedPageBreak/>
              <w:t xml:space="preserve">POLIAKOVAS, O. </w:t>
            </w:r>
            <w:r w:rsidRPr="006D541C">
              <w:rPr>
                <w:rFonts w:ascii="Times New Roman" w:hAnsi="Times New Roman" w:cs="Times New Roman"/>
                <w:i/>
                <w:sz w:val="24"/>
                <w:szCs w:val="24"/>
              </w:rPr>
              <w:t>Pasaulis ir lietuvių kalba</w:t>
            </w:r>
            <w:r w:rsidRPr="006D541C">
              <w:rPr>
                <w:rFonts w:ascii="Times New Roman" w:hAnsi="Times New Roman" w:cs="Times New Roman"/>
                <w:sz w:val="24"/>
                <w:szCs w:val="24"/>
              </w:rPr>
              <w:t xml:space="preserve">. </w:t>
            </w:r>
            <w:r w:rsidRPr="006D541C">
              <w:rPr>
                <w:rFonts w:ascii="Times New Roman" w:hAnsi="Times New Roman" w:cs="Times New Roman"/>
                <w:i/>
                <w:sz w:val="24"/>
                <w:szCs w:val="24"/>
              </w:rPr>
              <w:t>Indoeuropiečių ir lietuvių kalbos giminystė</w:t>
            </w:r>
            <w:r w:rsidRPr="006D541C">
              <w:rPr>
                <w:rFonts w:ascii="Times New Roman" w:hAnsi="Times New Roman" w:cs="Times New Roman"/>
                <w:sz w:val="24"/>
                <w:szCs w:val="24"/>
              </w:rPr>
              <w:t xml:space="preserve">.  </w:t>
            </w:r>
            <w:r w:rsidRPr="006D541C">
              <w:rPr>
                <w:rFonts w:ascii="Times New Roman" w:hAnsi="Times New Roman" w:cs="Times New Roman"/>
                <w:sz w:val="24"/>
                <w:szCs w:val="24"/>
              </w:rPr>
              <w:lastRenderedPageBreak/>
              <w:t>Vilnius: Enciklopedija, 2008.</w:t>
            </w:r>
          </w:p>
        </w:tc>
      </w:tr>
    </w:tbl>
    <w:p w:rsidR="006E40BA" w:rsidRPr="006D541C" w:rsidRDefault="006E40BA" w:rsidP="006E40BA">
      <w:pPr>
        <w:tabs>
          <w:tab w:val="num" w:pos="0"/>
        </w:tabs>
        <w:jc w:val="left"/>
        <w:rPr>
          <w:rFonts w:ascii="Times New Roman" w:hAnsi="Times New Roman" w:cs="Times New Roman"/>
          <w:sz w:val="24"/>
          <w:szCs w:val="24"/>
        </w:rPr>
      </w:pPr>
    </w:p>
    <w:p w:rsidR="006E40BA" w:rsidRPr="006D541C" w:rsidRDefault="006E40BA" w:rsidP="006E40BA">
      <w:pPr>
        <w:tabs>
          <w:tab w:val="num" w:pos="0"/>
        </w:tabs>
        <w:jc w:val="left"/>
        <w:rPr>
          <w:rFonts w:ascii="Times New Roman" w:hAnsi="Times New Roman" w:cs="Times New Roman"/>
          <w:b/>
          <w:sz w:val="24"/>
          <w:szCs w:val="24"/>
        </w:rPr>
      </w:pPr>
      <w:r w:rsidRPr="006D541C">
        <w:rPr>
          <w:rFonts w:ascii="Times New Roman" w:hAnsi="Times New Roman" w:cs="Times New Roman"/>
          <w:sz w:val="24"/>
          <w:szCs w:val="24"/>
        </w:rPr>
        <w:t xml:space="preserve"> </w:t>
      </w:r>
      <w:r w:rsidRPr="006D541C">
        <w:rPr>
          <w:rFonts w:ascii="Times New Roman" w:hAnsi="Times New Roman" w:cs="Times New Roman"/>
          <w:i/>
          <w:sz w:val="24"/>
          <w:szCs w:val="24"/>
        </w:rPr>
        <w:t>Pavyzdys</w:t>
      </w:r>
      <w:r w:rsidRPr="006D541C">
        <w:rPr>
          <w:rFonts w:ascii="Times New Roman" w:hAnsi="Times New Roman" w:cs="Times New Roman"/>
          <w:sz w:val="24"/>
          <w:szCs w:val="24"/>
        </w:rPr>
        <w:t>:</w:t>
      </w:r>
      <w:r w:rsidRPr="006D541C">
        <w:rPr>
          <w:rFonts w:ascii="Times New Roman" w:hAnsi="Times New Roman" w:cs="Times New Roman"/>
          <w:b/>
          <w:sz w:val="24"/>
          <w:szCs w:val="24"/>
        </w:rPr>
        <w:t xml:space="preserve"> </w:t>
      </w:r>
      <w:r w:rsidRPr="006D541C">
        <w:rPr>
          <w:rFonts w:ascii="Times New Roman" w:hAnsi="Times New Roman" w:cs="Times New Roman"/>
          <w:b/>
          <w:i/>
          <w:sz w:val="24"/>
          <w:szCs w:val="24"/>
        </w:rPr>
        <w:t>du autoriai</w:t>
      </w:r>
    </w:p>
    <w:p w:rsidR="006E40BA" w:rsidRPr="006D541C" w:rsidRDefault="006E40BA" w:rsidP="006E40BA">
      <w:pPr>
        <w:tabs>
          <w:tab w:val="num" w:pos="0"/>
        </w:tabs>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3"/>
        <w:gridCol w:w="4941"/>
      </w:tblGrid>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 xml:space="preserve">Juzėnas ir </w:t>
            </w:r>
            <w:proofErr w:type="spellStart"/>
            <w:r w:rsidRPr="006D541C">
              <w:rPr>
                <w:rFonts w:ascii="Times New Roman" w:hAnsi="Times New Roman" w:cs="Times New Roman"/>
                <w:sz w:val="24"/>
                <w:szCs w:val="24"/>
              </w:rPr>
              <w:t>Rimašauskas</w:t>
            </w:r>
            <w:proofErr w:type="spellEnd"/>
            <w:r w:rsidRPr="006D541C">
              <w:rPr>
                <w:rFonts w:ascii="Times New Roman" w:hAnsi="Times New Roman" w:cs="Times New Roman"/>
                <w:sz w:val="24"/>
                <w:szCs w:val="24"/>
              </w:rPr>
              <w:t xml:space="preserve"> (2012) siūlo ...</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 xml:space="preserve">JUZĖNAS, E., RAMAŠAUSKAS, M. </w:t>
            </w:r>
            <w:r w:rsidRPr="006D541C">
              <w:rPr>
                <w:rFonts w:ascii="Times New Roman" w:hAnsi="Times New Roman" w:cs="Times New Roman"/>
                <w:i/>
                <w:sz w:val="24"/>
                <w:szCs w:val="24"/>
              </w:rPr>
              <w:t>Mašinų gamybos technologijos savarankiškų darbų metodiniai nurodymai</w:t>
            </w:r>
            <w:r w:rsidRPr="006D541C">
              <w:rPr>
                <w:rFonts w:ascii="Times New Roman" w:hAnsi="Times New Roman" w:cs="Times New Roman"/>
                <w:sz w:val="24"/>
                <w:szCs w:val="24"/>
              </w:rPr>
              <w:t>. Kaunas</w:t>
            </w:r>
            <w:r w:rsidRPr="006D541C">
              <w:rPr>
                <w:rFonts w:ascii="Times New Roman" w:hAnsi="Times New Roman" w:cs="Times New Roman"/>
                <w:i/>
                <w:sz w:val="24"/>
                <w:szCs w:val="24"/>
              </w:rPr>
              <w:t>:</w:t>
            </w:r>
            <w:r w:rsidRPr="006D541C">
              <w:rPr>
                <w:rFonts w:ascii="Times New Roman" w:hAnsi="Times New Roman" w:cs="Times New Roman"/>
                <w:sz w:val="24"/>
                <w:szCs w:val="24"/>
              </w:rPr>
              <w:t xml:space="preserve"> KTU, 2012.</w:t>
            </w:r>
          </w:p>
        </w:tc>
      </w:tr>
    </w:tbl>
    <w:p w:rsidR="006E40BA" w:rsidRPr="006D541C" w:rsidRDefault="006E40BA" w:rsidP="006E40BA">
      <w:pPr>
        <w:tabs>
          <w:tab w:val="num" w:pos="0"/>
        </w:tabs>
        <w:jc w:val="left"/>
        <w:rPr>
          <w:rFonts w:ascii="Times New Roman" w:hAnsi="Times New Roman" w:cs="Times New Roman"/>
          <w:sz w:val="24"/>
          <w:szCs w:val="24"/>
        </w:rPr>
      </w:pPr>
    </w:p>
    <w:p w:rsidR="006E40BA" w:rsidRPr="006D541C" w:rsidRDefault="006E40BA" w:rsidP="006E40BA">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 xml:space="preserve">:  </w:t>
      </w:r>
      <w:r w:rsidRPr="006D541C">
        <w:rPr>
          <w:rFonts w:ascii="Times New Roman" w:hAnsi="Times New Roman" w:cs="Times New Roman"/>
          <w:b/>
          <w:i/>
          <w:sz w:val="24"/>
          <w:szCs w:val="24"/>
        </w:rPr>
        <w:t>trys autoriai</w:t>
      </w:r>
    </w:p>
    <w:p w:rsidR="006E40BA" w:rsidRPr="006D541C" w:rsidRDefault="006E40BA" w:rsidP="006E40BA">
      <w:pPr>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8"/>
      </w:tblGrid>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Autoriai (</w:t>
            </w:r>
            <w:proofErr w:type="spellStart"/>
            <w:r w:rsidRPr="006D541C">
              <w:rPr>
                <w:rFonts w:ascii="Times New Roman" w:hAnsi="Times New Roman" w:cs="Times New Roman"/>
                <w:sz w:val="24"/>
                <w:szCs w:val="24"/>
              </w:rPr>
              <w:t>Dagienė</w:t>
            </w:r>
            <w:proofErr w:type="spellEnd"/>
            <w:r w:rsidRPr="006D541C">
              <w:rPr>
                <w:rFonts w:ascii="Times New Roman" w:hAnsi="Times New Roman" w:cs="Times New Roman"/>
                <w:sz w:val="24"/>
                <w:szCs w:val="24"/>
              </w:rPr>
              <w:t xml:space="preserve"> ir </w:t>
            </w:r>
            <w:proofErr w:type="spellStart"/>
            <w:r w:rsidRPr="006D541C">
              <w:rPr>
                <w:rFonts w:ascii="Times New Roman" w:hAnsi="Times New Roman" w:cs="Times New Roman"/>
                <w:sz w:val="24"/>
                <w:szCs w:val="24"/>
              </w:rPr>
              <w:t>kt</w:t>
            </w:r>
            <w:proofErr w:type="spellEnd"/>
            <w:r w:rsidRPr="006D541C">
              <w:rPr>
                <w:rFonts w:ascii="Times New Roman" w:hAnsi="Times New Roman" w:cs="Times New Roman"/>
                <w:sz w:val="24"/>
                <w:szCs w:val="24"/>
              </w:rPr>
              <w:t>., 2008) tikisi, kad enciklopedinis kompiuterijos žodynas bus naudingas ir kompiuterių naudotojams.</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DAGIENĖ, V., GRIGAS, G., JERSIKOVA, T</w:t>
            </w:r>
            <w:r w:rsidRPr="006D541C">
              <w:rPr>
                <w:rFonts w:ascii="Times New Roman" w:hAnsi="Times New Roman" w:cs="Times New Roman"/>
                <w:i/>
                <w:sz w:val="24"/>
                <w:szCs w:val="24"/>
              </w:rPr>
              <w:t>. Enciklopedinis kompiuterijos žodynas</w:t>
            </w:r>
            <w:r w:rsidRPr="006D541C">
              <w:rPr>
                <w:rFonts w:ascii="Times New Roman" w:hAnsi="Times New Roman" w:cs="Times New Roman"/>
                <w:sz w:val="24"/>
                <w:szCs w:val="24"/>
              </w:rPr>
              <w:t>. II pataisytas leidimas. Vilnius: leidykla TEV. 2008.</w:t>
            </w:r>
          </w:p>
        </w:tc>
      </w:tr>
    </w:tbl>
    <w:p w:rsidR="006E40BA" w:rsidRPr="006D541C" w:rsidRDefault="006E40BA" w:rsidP="006E40BA">
      <w:pPr>
        <w:jc w:val="left"/>
        <w:rPr>
          <w:rFonts w:ascii="Times New Roman" w:hAnsi="Times New Roman" w:cs="Times New Roman"/>
          <w:sz w:val="24"/>
          <w:szCs w:val="24"/>
        </w:rPr>
      </w:pPr>
    </w:p>
    <w:p w:rsidR="006E40BA" w:rsidRPr="006D541C" w:rsidRDefault="006E40BA" w:rsidP="006E40BA">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 xml:space="preserve">: </w:t>
      </w:r>
      <w:r w:rsidRPr="006D541C">
        <w:rPr>
          <w:rFonts w:ascii="Times New Roman" w:hAnsi="Times New Roman" w:cs="Times New Roman"/>
          <w:b/>
          <w:i/>
          <w:sz w:val="24"/>
          <w:szCs w:val="24"/>
        </w:rPr>
        <w:t>daugiau kaip trys autoriai</w:t>
      </w:r>
    </w:p>
    <w:p w:rsidR="006E40BA" w:rsidRPr="006D541C" w:rsidRDefault="006E40BA" w:rsidP="006E40BA">
      <w:pPr>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9"/>
        <w:gridCol w:w="4935"/>
      </w:tblGrid>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proofErr w:type="spellStart"/>
            <w:r w:rsidRPr="006D541C">
              <w:rPr>
                <w:rFonts w:ascii="Times New Roman" w:hAnsi="Times New Roman" w:cs="Times New Roman"/>
                <w:sz w:val="24"/>
                <w:szCs w:val="24"/>
              </w:rPr>
              <w:t>Gudzinevičiūtės</w:t>
            </w:r>
            <w:proofErr w:type="spellEnd"/>
            <w:r w:rsidRPr="006D541C">
              <w:rPr>
                <w:rFonts w:ascii="Times New Roman" w:hAnsi="Times New Roman" w:cs="Times New Roman"/>
                <w:sz w:val="24"/>
                <w:szCs w:val="24"/>
              </w:rPr>
              <w:t xml:space="preserve">  ir </w:t>
            </w:r>
            <w:proofErr w:type="spellStart"/>
            <w:r w:rsidRPr="006D541C">
              <w:rPr>
                <w:rFonts w:ascii="Times New Roman" w:hAnsi="Times New Roman" w:cs="Times New Roman"/>
                <w:sz w:val="24"/>
                <w:szCs w:val="24"/>
              </w:rPr>
              <w:t>kt</w:t>
            </w:r>
            <w:proofErr w:type="spellEnd"/>
            <w:r w:rsidRPr="006D541C">
              <w:rPr>
                <w:rFonts w:ascii="Times New Roman" w:hAnsi="Times New Roman" w:cs="Times New Roman"/>
                <w:sz w:val="24"/>
                <w:szCs w:val="24"/>
              </w:rPr>
              <w:t>. (2005) pateikti pavyzdžiai patvirtina, kad ...</w:t>
            </w:r>
          </w:p>
        </w:tc>
        <w:tc>
          <w:tcPr>
            <w:tcW w:w="5069" w:type="dxa"/>
            <w:shd w:val="clear" w:color="auto" w:fill="auto"/>
          </w:tcPr>
          <w:p w:rsidR="006E40BA" w:rsidRPr="006D541C" w:rsidRDefault="006E40BA" w:rsidP="00FE0B89">
            <w:pPr>
              <w:jc w:val="left"/>
              <w:rPr>
                <w:rFonts w:ascii="Times New Roman" w:hAnsi="Times New Roman" w:cs="Times New Roman"/>
                <w:sz w:val="24"/>
                <w:szCs w:val="24"/>
              </w:rPr>
            </w:pPr>
            <w:r w:rsidRPr="006D541C">
              <w:rPr>
                <w:rFonts w:ascii="Times New Roman" w:hAnsi="Times New Roman" w:cs="Times New Roman"/>
                <w:sz w:val="24"/>
                <w:szCs w:val="24"/>
              </w:rPr>
              <w:t xml:space="preserve">GUZINEVIČIŪTĖ, O. L. ir </w:t>
            </w:r>
            <w:proofErr w:type="spellStart"/>
            <w:r w:rsidRPr="006D541C">
              <w:rPr>
                <w:rFonts w:ascii="Times New Roman" w:hAnsi="Times New Roman" w:cs="Times New Roman"/>
                <w:sz w:val="24"/>
                <w:szCs w:val="24"/>
              </w:rPr>
              <w:t>kt</w:t>
            </w:r>
            <w:proofErr w:type="spellEnd"/>
            <w:r w:rsidRPr="006D541C">
              <w:rPr>
                <w:rFonts w:ascii="Times New Roman" w:hAnsi="Times New Roman" w:cs="Times New Roman"/>
                <w:sz w:val="24"/>
                <w:szCs w:val="24"/>
              </w:rPr>
              <w:t xml:space="preserve">. </w:t>
            </w:r>
            <w:r w:rsidRPr="006D541C">
              <w:rPr>
                <w:rFonts w:ascii="Times New Roman" w:hAnsi="Times New Roman" w:cs="Times New Roman"/>
                <w:i/>
                <w:sz w:val="24"/>
                <w:szCs w:val="24"/>
              </w:rPr>
              <w:t>Kūno kultūros ir sporto specialistų kompetencija: mokslo darbai ir profesinė kalba</w:t>
            </w:r>
            <w:r w:rsidRPr="006D541C">
              <w:rPr>
                <w:rFonts w:ascii="Times New Roman" w:hAnsi="Times New Roman" w:cs="Times New Roman"/>
                <w:sz w:val="24"/>
                <w:szCs w:val="24"/>
              </w:rPr>
              <w:t>. Vilnius: Gimtasis žodis, 2005.</w:t>
            </w:r>
          </w:p>
        </w:tc>
      </w:tr>
    </w:tbl>
    <w:p w:rsidR="006E40BA" w:rsidRPr="006D541C" w:rsidRDefault="006E40BA" w:rsidP="006E40BA">
      <w:pPr>
        <w:jc w:val="left"/>
        <w:rPr>
          <w:rFonts w:ascii="Times New Roman" w:hAnsi="Times New Roman" w:cs="Times New Roman"/>
          <w:i/>
          <w:sz w:val="24"/>
          <w:szCs w:val="24"/>
        </w:rPr>
      </w:pPr>
    </w:p>
    <w:p w:rsidR="006E40BA" w:rsidRPr="006D541C" w:rsidRDefault="006E40BA" w:rsidP="006E40BA">
      <w:pPr>
        <w:jc w:val="left"/>
        <w:rPr>
          <w:rFonts w:ascii="Times New Roman" w:hAnsi="Times New Roman" w:cs="Times New Roman"/>
          <w:sz w:val="24"/>
          <w:szCs w:val="24"/>
        </w:rPr>
      </w:pPr>
      <w:r w:rsidRPr="006D541C">
        <w:rPr>
          <w:rFonts w:ascii="Times New Roman" w:hAnsi="Times New Roman" w:cs="Times New Roman"/>
          <w:i/>
          <w:sz w:val="24"/>
          <w:szCs w:val="24"/>
        </w:rPr>
        <w:t>Pavyzdys</w:t>
      </w:r>
      <w:r w:rsidRPr="006D541C">
        <w:rPr>
          <w:rFonts w:ascii="Times New Roman" w:hAnsi="Times New Roman" w:cs="Times New Roman"/>
          <w:sz w:val="24"/>
          <w:szCs w:val="24"/>
        </w:rPr>
        <w:t xml:space="preserve">: </w:t>
      </w:r>
      <w:r w:rsidRPr="006D541C">
        <w:rPr>
          <w:rFonts w:ascii="Times New Roman" w:hAnsi="Times New Roman" w:cs="Times New Roman"/>
          <w:b/>
          <w:i/>
          <w:sz w:val="24"/>
          <w:szCs w:val="24"/>
        </w:rPr>
        <w:t>elektroninė knyga</w:t>
      </w:r>
    </w:p>
    <w:p w:rsidR="006E40BA" w:rsidRPr="006D541C" w:rsidRDefault="006E40BA" w:rsidP="006E40BA">
      <w:pPr>
        <w:jc w:val="left"/>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967"/>
      </w:tblGrid>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proofErr w:type="spellStart"/>
            <w:r w:rsidRPr="006D541C">
              <w:rPr>
                <w:rFonts w:ascii="Times New Roman" w:hAnsi="Times New Roman" w:cs="Times New Roman"/>
                <w:sz w:val="24"/>
                <w:szCs w:val="24"/>
              </w:rPr>
              <w:t>Gerring‘as</w:t>
            </w:r>
            <w:proofErr w:type="spellEnd"/>
            <w:r w:rsidRPr="006D541C">
              <w:rPr>
                <w:rFonts w:ascii="Times New Roman" w:hAnsi="Times New Roman" w:cs="Times New Roman"/>
                <w:sz w:val="24"/>
                <w:szCs w:val="24"/>
              </w:rPr>
              <w:t xml:space="preserve"> (</w:t>
            </w:r>
            <w:r w:rsidRPr="006D541C">
              <w:rPr>
                <w:rFonts w:ascii="Times New Roman" w:hAnsi="Times New Roman" w:cs="Times New Roman"/>
                <w:sz w:val="24"/>
                <w:szCs w:val="24"/>
                <w:lang w:val="en-US"/>
              </w:rPr>
              <w:t>2007, p. 41-49)</w:t>
            </w:r>
            <w:r w:rsidRPr="006D541C">
              <w:rPr>
                <w:rFonts w:ascii="Times New Roman" w:hAnsi="Times New Roman" w:cs="Times New Roman"/>
                <w:sz w:val="24"/>
                <w:szCs w:val="24"/>
              </w:rPr>
              <w:t xml:space="preserve"> analizuoja &lt;...&gt;.</w:t>
            </w:r>
          </w:p>
        </w:tc>
        <w:tc>
          <w:tcPr>
            <w:tcW w:w="5069" w:type="dxa"/>
            <w:shd w:val="clear" w:color="auto" w:fill="auto"/>
          </w:tcPr>
          <w:p w:rsidR="006E40BA" w:rsidRPr="006D541C" w:rsidRDefault="006E40BA" w:rsidP="00FE0B89">
            <w:pPr>
              <w:jc w:val="left"/>
              <w:rPr>
                <w:rFonts w:ascii="Times New Roman" w:hAnsi="Times New Roman" w:cs="Times New Roman"/>
                <w:sz w:val="24"/>
                <w:szCs w:val="24"/>
              </w:rPr>
            </w:pPr>
            <w:r w:rsidRPr="006D541C">
              <w:rPr>
                <w:rFonts w:ascii="Times New Roman" w:hAnsi="Times New Roman" w:cs="Times New Roman"/>
                <w:sz w:val="24"/>
                <w:szCs w:val="24"/>
              </w:rPr>
              <w:t xml:space="preserve">GERRING, J. </w:t>
            </w:r>
            <w:proofErr w:type="spellStart"/>
            <w:r w:rsidRPr="006D541C">
              <w:rPr>
                <w:rFonts w:ascii="Times New Roman" w:hAnsi="Times New Roman" w:cs="Times New Roman"/>
                <w:i/>
                <w:sz w:val="24"/>
                <w:szCs w:val="24"/>
              </w:rPr>
              <w:t>Case</w:t>
            </w:r>
            <w:proofErr w:type="spellEnd"/>
            <w:r w:rsidRPr="006D541C">
              <w:rPr>
                <w:rFonts w:ascii="Times New Roman" w:hAnsi="Times New Roman" w:cs="Times New Roman"/>
                <w:i/>
                <w:sz w:val="24"/>
                <w:szCs w:val="24"/>
              </w:rPr>
              <w:t xml:space="preserve"> </w:t>
            </w:r>
            <w:proofErr w:type="spellStart"/>
            <w:r w:rsidRPr="006D541C">
              <w:rPr>
                <w:rFonts w:ascii="Times New Roman" w:hAnsi="Times New Roman" w:cs="Times New Roman"/>
                <w:i/>
                <w:sz w:val="24"/>
                <w:szCs w:val="24"/>
              </w:rPr>
              <w:t>study</w:t>
            </w:r>
            <w:proofErr w:type="spellEnd"/>
            <w:r w:rsidRPr="006D541C">
              <w:rPr>
                <w:rFonts w:ascii="Times New Roman" w:hAnsi="Times New Roman" w:cs="Times New Roman"/>
                <w:i/>
                <w:sz w:val="24"/>
                <w:szCs w:val="24"/>
              </w:rPr>
              <w:t xml:space="preserve"> </w:t>
            </w:r>
            <w:proofErr w:type="spellStart"/>
            <w:r w:rsidRPr="006D541C">
              <w:rPr>
                <w:rFonts w:ascii="Times New Roman" w:hAnsi="Times New Roman" w:cs="Times New Roman"/>
                <w:i/>
                <w:sz w:val="24"/>
                <w:szCs w:val="24"/>
              </w:rPr>
              <w:t>research</w:t>
            </w:r>
            <w:proofErr w:type="spellEnd"/>
            <w:r w:rsidRPr="006D541C">
              <w:rPr>
                <w:rFonts w:ascii="Times New Roman" w:hAnsi="Times New Roman" w:cs="Times New Roman"/>
                <w:i/>
                <w:sz w:val="24"/>
                <w:szCs w:val="24"/>
              </w:rPr>
              <w:t xml:space="preserve">: </w:t>
            </w:r>
            <w:proofErr w:type="spellStart"/>
            <w:r w:rsidRPr="006D541C">
              <w:rPr>
                <w:rFonts w:ascii="Times New Roman" w:hAnsi="Times New Roman" w:cs="Times New Roman"/>
                <w:i/>
                <w:sz w:val="24"/>
                <w:szCs w:val="24"/>
              </w:rPr>
              <w:t>principles</w:t>
            </w:r>
            <w:proofErr w:type="spellEnd"/>
            <w:r w:rsidRPr="006D541C">
              <w:rPr>
                <w:rFonts w:ascii="Times New Roman" w:hAnsi="Times New Roman" w:cs="Times New Roman"/>
                <w:i/>
                <w:sz w:val="24"/>
                <w:szCs w:val="24"/>
              </w:rPr>
              <w:t xml:space="preserve"> </w:t>
            </w:r>
            <w:proofErr w:type="spellStart"/>
            <w:r w:rsidRPr="006D541C">
              <w:rPr>
                <w:rFonts w:ascii="Times New Roman" w:hAnsi="Times New Roman" w:cs="Times New Roman"/>
                <w:i/>
                <w:sz w:val="24"/>
                <w:szCs w:val="24"/>
              </w:rPr>
              <w:t>and</w:t>
            </w:r>
            <w:proofErr w:type="spellEnd"/>
            <w:r w:rsidRPr="006D541C">
              <w:rPr>
                <w:rFonts w:ascii="Times New Roman" w:hAnsi="Times New Roman" w:cs="Times New Roman"/>
                <w:i/>
                <w:sz w:val="24"/>
                <w:szCs w:val="24"/>
              </w:rPr>
              <w:t xml:space="preserve"> </w:t>
            </w:r>
            <w:proofErr w:type="spellStart"/>
            <w:r w:rsidRPr="006D541C">
              <w:rPr>
                <w:rFonts w:ascii="Times New Roman" w:hAnsi="Times New Roman" w:cs="Times New Roman"/>
                <w:i/>
                <w:sz w:val="24"/>
                <w:szCs w:val="24"/>
              </w:rPr>
              <w:t>practices</w:t>
            </w:r>
            <w:proofErr w:type="spellEnd"/>
            <w:r w:rsidRPr="006D541C">
              <w:rPr>
                <w:rFonts w:ascii="Times New Roman" w:hAnsi="Times New Roman" w:cs="Times New Roman"/>
                <w:sz w:val="24"/>
                <w:szCs w:val="24"/>
              </w:rPr>
              <w:t xml:space="preserve"> [interaktyvus]. </w:t>
            </w:r>
            <w:r w:rsidRPr="006D541C">
              <w:rPr>
                <w:rFonts w:ascii="Times New Roman" w:hAnsi="Times New Roman" w:cs="Times New Roman"/>
                <w:sz w:val="24"/>
                <w:szCs w:val="24"/>
                <w:lang w:val="en-US"/>
              </w:rPr>
              <w:t>2007,</w:t>
            </w:r>
            <w:r w:rsidRPr="006D541C">
              <w:rPr>
                <w:rFonts w:ascii="Times New Roman" w:hAnsi="Times New Roman" w:cs="Times New Roman"/>
                <w:i/>
                <w:sz w:val="24"/>
                <w:szCs w:val="24"/>
              </w:rPr>
              <w:t xml:space="preserve"> </w:t>
            </w:r>
            <w:proofErr w:type="spellStart"/>
            <w:r w:rsidRPr="006D541C">
              <w:rPr>
                <w:rFonts w:ascii="Times New Roman" w:hAnsi="Times New Roman" w:cs="Times New Roman"/>
                <w:sz w:val="24"/>
                <w:szCs w:val="24"/>
              </w:rPr>
              <w:t>Cambridge</w:t>
            </w:r>
            <w:proofErr w:type="spellEnd"/>
            <w:r w:rsidRPr="006D541C">
              <w:rPr>
                <w:rFonts w:ascii="Times New Roman" w:hAnsi="Times New Roman" w:cs="Times New Roman"/>
                <w:sz w:val="24"/>
                <w:szCs w:val="24"/>
              </w:rPr>
              <w:t>: CUP [2008-</w:t>
            </w:r>
            <w:r w:rsidRPr="006D541C">
              <w:rPr>
                <w:rFonts w:ascii="Times New Roman" w:hAnsi="Times New Roman" w:cs="Times New Roman"/>
                <w:sz w:val="24"/>
                <w:szCs w:val="24"/>
                <w:lang w:val="en-US"/>
              </w:rPr>
              <w:t>1</w:t>
            </w:r>
            <w:r w:rsidRPr="006D541C">
              <w:rPr>
                <w:rFonts w:ascii="Times New Roman" w:hAnsi="Times New Roman" w:cs="Times New Roman"/>
                <w:sz w:val="24"/>
                <w:szCs w:val="24"/>
              </w:rPr>
              <w:t xml:space="preserve">0-5]. Prieiga per internetą: </w:t>
            </w:r>
            <w:hyperlink r:id="rId6" w:history="1">
              <w:r w:rsidRPr="006D541C">
                <w:rPr>
                  <w:rStyle w:val="Hipersaitas"/>
                  <w:rFonts w:ascii="Times New Roman" w:hAnsi="Times New Roman" w:cs="Times New Roman"/>
                  <w:sz w:val="24"/>
                  <w:szCs w:val="24"/>
                </w:rPr>
                <w:t>http://www.myilibrary.com</w:t>
              </w:r>
            </w:hyperlink>
            <w:r w:rsidRPr="006D541C">
              <w:rPr>
                <w:rFonts w:ascii="Times New Roman" w:hAnsi="Times New Roman" w:cs="Times New Roman"/>
                <w:sz w:val="24"/>
                <w:szCs w:val="24"/>
              </w:rPr>
              <w:t>.</w:t>
            </w:r>
          </w:p>
        </w:tc>
      </w:tr>
    </w:tbl>
    <w:p w:rsidR="006E40BA" w:rsidRPr="006D541C" w:rsidRDefault="006E40BA" w:rsidP="006E40BA">
      <w:pPr>
        <w:jc w:val="left"/>
        <w:rPr>
          <w:rFonts w:ascii="Times New Roman" w:hAnsi="Times New Roman" w:cs="Times New Roman"/>
          <w:i/>
          <w:sz w:val="24"/>
          <w:szCs w:val="24"/>
        </w:rPr>
      </w:pPr>
    </w:p>
    <w:p w:rsidR="006E40BA" w:rsidRPr="006D541C" w:rsidRDefault="006E40BA" w:rsidP="006E40BA">
      <w:pPr>
        <w:pStyle w:val="Default"/>
        <w:rPr>
          <w:rStyle w:val="Hipersaitas"/>
          <w:rFonts w:ascii="Times New Roman" w:hAnsi="Times New Roman" w:cs="Times New Roman"/>
          <w:color w:val="auto"/>
          <w:shd w:val="clear" w:color="auto" w:fill="FFFFFF"/>
        </w:rPr>
      </w:pPr>
      <w:r w:rsidRPr="006D541C">
        <w:rPr>
          <w:rStyle w:val="Hipersaitas"/>
          <w:rFonts w:ascii="Times New Roman" w:hAnsi="Times New Roman" w:cs="Times New Roman"/>
          <w:i/>
          <w:color w:val="auto"/>
          <w:shd w:val="clear" w:color="auto" w:fill="FFFFFF"/>
        </w:rPr>
        <w:t>Pavyzdys</w:t>
      </w:r>
      <w:r w:rsidRPr="006D541C">
        <w:rPr>
          <w:rStyle w:val="Hipersaitas"/>
          <w:rFonts w:ascii="Times New Roman" w:hAnsi="Times New Roman" w:cs="Times New Roman"/>
          <w:color w:val="auto"/>
          <w:shd w:val="clear" w:color="auto" w:fill="FFFFFF"/>
        </w:rPr>
        <w:t xml:space="preserve">: </w:t>
      </w:r>
      <w:r w:rsidRPr="006D541C">
        <w:rPr>
          <w:rStyle w:val="Hipersaitas"/>
          <w:rFonts w:ascii="Times New Roman" w:hAnsi="Times New Roman" w:cs="Times New Roman"/>
          <w:b/>
          <w:i/>
          <w:color w:val="auto"/>
          <w:shd w:val="clear" w:color="auto" w:fill="FFFFFF"/>
        </w:rPr>
        <w:t>interneto svetainė</w:t>
      </w:r>
    </w:p>
    <w:p w:rsidR="006E40BA" w:rsidRPr="006D541C" w:rsidRDefault="006E40BA" w:rsidP="006E40BA">
      <w:pPr>
        <w:pStyle w:val="Default"/>
        <w:rPr>
          <w:rStyle w:val="Hipersaitas"/>
          <w:rFonts w:ascii="Times New Roman" w:hAnsi="Times New Roman" w:cs="Times New Roman"/>
          <w:color w:val="auto"/>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5142"/>
      </w:tblGrid>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Nuoroda rašto darbo tekste:</w:t>
            </w:r>
          </w:p>
        </w:tc>
        <w:tc>
          <w:tcPr>
            <w:tcW w:w="5069" w:type="dxa"/>
            <w:shd w:val="clear" w:color="auto" w:fill="auto"/>
          </w:tcPr>
          <w:p w:rsidR="006E40BA" w:rsidRPr="006D541C" w:rsidRDefault="006E40BA" w:rsidP="00FE0B89">
            <w:pPr>
              <w:tabs>
                <w:tab w:val="num" w:pos="0"/>
              </w:tabs>
              <w:jc w:val="left"/>
              <w:rPr>
                <w:rFonts w:ascii="Times New Roman" w:hAnsi="Times New Roman" w:cs="Times New Roman"/>
                <w:b/>
                <w:sz w:val="24"/>
                <w:szCs w:val="24"/>
              </w:rPr>
            </w:pPr>
            <w:r w:rsidRPr="006D541C">
              <w:rPr>
                <w:rFonts w:ascii="Times New Roman" w:hAnsi="Times New Roman" w:cs="Times New Roman"/>
                <w:b/>
                <w:sz w:val="24"/>
                <w:szCs w:val="24"/>
              </w:rPr>
              <w:t>Literatūros ir kitų informacijos šaltinių sąraše nurodoma:</w:t>
            </w:r>
          </w:p>
        </w:tc>
      </w:tr>
      <w:tr w:rsidR="006E40BA" w:rsidRPr="006D541C" w:rsidTr="00FE0B89">
        <w:tc>
          <w:tcPr>
            <w:tcW w:w="5068" w:type="dxa"/>
            <w:shd w:val="clear" w:color="auto" w:fill="auto"/>
          </w:tcPr>
          <w:p w:rsidR="006E40BA" w:rsidRPr="006D541C" w:rsidRDefault="006E40BA" w:rsidP="00FE0B89">
            <w:pPr>
              <w:tabs>
                <w:tab w:val="num" w:pos="0"/>
              </w:tabs>
              <w:jc w:val="left"/>
              <w:rPr>
                <w:rFonts w:ascii="Times New Roman" w:hAnsi="Times New Roman" w:cs="Times New Roman"/>
                <w:sz w:val="24"/>
                <w:szCs w:val="24"/>
              </w:rPr>
            </w:pPr>
            <w:r w:rsidRPr="006D541C">
              <w:rPr>
                <w:rFonts w:ascii="Times New Roman" w:hAnsi="Times New Roman" w:cs="Times New Roman"/>
                <w:sz w:val="24"/>
                <w:szCs w:val="24"/>
              </w:rPr>
              <w:t xml:space="preserve">Lietuvos žurnalistų ir leidėjų etikos komisija apibrėžiama kaip viešosios informacijos rengėjų ir skleidėjų savitvarkos institucija, kuri nagrinėja žurnalistų padarytus profesinės etikos pažeidimus, žurnalistų ir viešosios </w:t>
            </w:r>
            <w:r w:rsidRPr="006D541C">
              <w:rPr>
                <w:rFonts w:ascii="Times New Roman" w:hAnsi="Times New Roman" w:cs="Times New Roman"/>
                <w:sz w:val="24"/>
                <w:szCs w:val="24"/>
              </w:rPr>
              <w:lastRenderedPageBreak/>
              <w:t>informacijos rengėjų ar leidėjų tarpusavio ginčus ir apie tai informuoja visuomenę (Žurnalistų ir leidėjų etikos komisija).</w:t>
            </w:r>
          </w:p>
        </w:tc>
        <w:tc>
          <w:tcPr>
            <w:tcW w:w="5069" w:type="dxa"/>
            <w:shd w:val="clear" w:color="auto" w:fill="auto"/>
          </w:tcPr>
          <w:p w:rsidR="006E40BA" w:rsidRPr="006D541C" w:rsidRDefault="006E40BA" w:rsidP="00FE0B89">
            <w:pPr>
              <w:jc w:val="left"/>
              <w:rPr>
                <w:rFonts w:ascii="Times New Roman" w:hAnsi="Times New Roman" w:cs="Times New Roman"/>
                <w:sz w:val="24"/>
                <w:szCs w:val="24"/>
              </w:rPr>
            </w:pPr>
            <w:r w:rsidRPr="006D541C">
              <w:rPr>
                <w:rFonts w:ascii="Times New Roman" w:hAnsi="Times New Roman" w:cs="Times New Roman"/>
                <w:i/>
                <w:sz w:val="24"/>
                <w:szCs w:val="24"/>
              </w:rPr>
              <w:lastRenderedPageBreak/>
              <w:t>Lietuvos žurnalistų ir leidėjų etikos komisija</w:t>
            </w:r>
            <w:r w:rsidRPr="006D541C">
              <w:rPr>
                <w:rFonts w:ascii="Times New Roman" w:hAnsi="Times New Roman" w:cs="Times New Roman"/>
                <w:sz w:val="24"/>
                <w:szCs w:val="24"/>
              </w:rPr>
              <w:t xml:space="preserve"> [interaktyvus].  Žurnalistų ir leidėjų etikos komisija. Pirmas puslapis, 2014 12 19 [žiūrėta 2015-02-17]</w:t>
            </w:r>
            <w:r w:rsidRPr="006D541C">
              <w:rPr>
                <w:rFonts w:ascii="Times New Roman" w:hAnsi="Times New Roman" w:cs="Times New Roman"/>
                <w:i/>
                <w:iCs/>
                <w:sz w:val="24"/>
                <w:szCs w:val="24"/>
              </w:rPr>
              <w:t xml:space="preserve">. </w:t>
            </w:r>
            <w:r w:rsidRPr="006D541C">
              <w:rPr>
                <w:rFonts w:ascii="Times New Roman" w:hAnsi="Times New Roman" w:cs="Times New Roman"/>
                <w:sz w:val="24"/>
                <w:szCs w:val="24"/>
              </w:rPr>
              <w:t xml:space="preserve">Prieiga per internetą: </w:t>
            </w:r>
          </w:p>
          <w:p w:rsidR="006E40BA" w:rsidRPr="006D541C" w:rsidRDefault="006E40BA" w:rsidP="00FE0B89">
            <w:pPr>
              <w:jc w:val="left"/>
              <w:rPr>
                <w:rFonts w:ascii="Times New Roman" w:hAnsi="Times New Roman" w:cs="Times New Roman"/>
                <w:sz w:val="24"/>
                <w:szCs w:val="24"/>
              </w:rPr>
            </w:pPr>
            <w:hyperlink r:id="rId7" w:history="1">
              <w:r w:rsidRPr="006D541C">
                <w:rPr>
                  <w:rStyle w:val="Hipersaitas"/>
                  <w:rFonts w:ascii="Times New Roman" w:hAnsi="Times New Roman" w:cs="Times New Roman"/>
                  <w:sz w:val="24"/>
                  <w:szCs w:val="24"/>
                </w:rPr>
                <w:t>http://lzlek.lt/index.php?lang=1&amp;sid=365&amp;tid=315</w:t>
              </w:r>
            </w:hyperlink>
          </w:p>
        </w:tc>
      </w:tr>
    </w:tbl>
    <w:p w:rsidR="006E40BA" w:rsidRPr="006D541C" w:rsidRDefault="006E40BA" w:rsidP="006E40BA">
      <w:pPr>
        <w:rPr>
          <w:rFonts w:ascii="Times New Roman" w:hAnsi="Times New Roman" w:cs="Times New Roman"/>
          <w:sz w:val="24"/>
          <w:szCs w:val="24"/>
        </w:rPr>
      </w:pPr>
    </w:p>
    <w:p w:rsidR="006E40BA" w:rsidRPr="006D541C" w:rsidRDefault="006E40BA" w:rsidP="006E40BA">
      <w:pPr>
        <w:pStyle w:val="Default"/>
        <w:numPr>
          <w:ilvl w:val="0"/>
          <w:numId w:val="1"/>
        </w:numPr>
        <w:tabs>
          <w:tab w:val="clear" w:pos="1080"/>
          <w:tab w:val="num" w:pos="1276"/>
        </w:tabs>
        <w:ind w:left="0" w:firstLine="720"/>
        <w:jc w:val="both"/>
        <w:rPr>
          <w:rFonts w:ascii="Times New Roman" w:hAnsi="Times New Roman" w:cs="Times New Roman"/>
          <w:bCs/>
          <w:color w:val="auto"/>
        </w:rPr>
      </w:pPr>
      <w:r w:rsidRPr="006D541C">
        <w:rPr>
          <w:rFonts w:ascii="Times New Roman" w:hAnsi="Times New Roman" w:cs="Times New Roman"/>
          <w:bCs/>
          <w:color w:val="auto"/>
        </w:rPr>
        <w:t>Autorių, kurio mintimis remiamasi, rašto darbe galima paminėti vartojant ir tokius veiksmažodžius bei pasakymus: nurodo, išryškina; priešingai nei K., J. aprašo (įveda, apibūdina, pateikia, išvardija); tai, kas parašyta, galima suprasti šitaip; tyrėjo išsakytas mintis galima suskaidyti į šias sudedamąsias dalis; komentuojant šį teiginį galima pasakyti, kad;  apibendrinant autoriaus mintis galima spręsti, jog; pateikti aktyviųjų mokymų požymiai leidžia teigti, kad; lyginant aptartas metodų kvalifikacijas, galima pastebėti, kad jos iš esmės atspindi; ir t. t.</w:t>
      </w:r>
    </w:p>
    <w:p w:rsidR="006E40BA" w:rsidRPr="006D541C" w:rsidRDefault="006E40BA" w:rsidP="006E40BA">
      <w:pPr>
        <w:pStyle w:val="Default"/>
        <w:numPr>
          <w:ilvl w:val="0"/>
          <w:numId w:val="1"/>
        </w:numPr>
        <w:tabs>
          <w:tab w:val="clear" w:pos="1080"/>
          <w:tab w:val="num" w:pos="1276"/>
        </w:tabs>
        <w:ind w:left="0" w:firstLine="720"/>
        <w:jc w:val="both"/>
        <w:rPr>
          <w:rFonts w:ascii="Times New Roman" w:hAnsi="Times New Roman" w:cs="Times New Roman"/>
          <w:bCs/>
          <w:color w:val="auto"/>
        </w:rPr>
      </w:pPr>
      <w:r w:rsidRPr="006D541C">
        <w:rPr>
          <w:rFonts w:ascii="Times New Roman" w:hAnsi="Times New Roman" w:cs="Times New Roman"/>
          <w:bCs/>
          <w:color w:val="auto"/>
        </w:rPr>
        <w:t>Gebėjimas savais žodžiais perteikti sudėtingas idėjas, koncepcijas, argumentuoti ir pagrįsti faktus, įtikina, kad rašto darbo autorius supranta  medžiagą.</w:t>
      </w:r>
    </w:p>
    <w:p w:rsidR="006E40BA" w:rsidRPr="006D541C" w:rsidRDefault="006E40BA" w:rsidP="006E40BA">
      <w:pPr>
        <w:pStyle w:val="Default"/>
        <w:jc w:val="both"/>
        <w:rPr>
          <w:rFonts w:ascii="Times New Roman" w:hAnsi="Times New Roman" w:cs="Times New Roman"/>
          <w:color w:val="auto"/>
        </w:rPr>
      </w:pPr>
    </w:p>
    <w:p w:rsidR="00F53ED6" w:rsidRDefault="00F53ED6">
      <w:bookmarkStart w:id="0" w:name="_GoBack"/>
      <w:bookmarkEnd w:id="0"/>
    </w:p>
    <w:sectPr w:rsidR="00F53ED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Garamond">
    <w:panose1 w:val="02020404030301010803"/>
    <w:charset w:val="BA"/>
    <w:family w:val="roman"/>
    <w:pitch w:val="variable"/>
    <w:sig w:usb0="00000287" w:usb1="00000000" w:usb2="00000000" w:usb3="00000000" w:csb0="000000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C606B"/>
    <w:multiLevelType w:val="multilevel"/>
    <w:tmpl w:val="1E34FE3E"/>
    <w:lvl w:ilvl="0">
      <w:start w:val="25"/>
      <w:numFmt w:val="decimal"/>
      <w:lvlText w:val="%1."/>
      <w:lvlJc w:val="left"/>
      <w:pPr>
        <w:tabs>
          <w:tab w:val="num" w:pos="1080"/>
        </w:tabs>
        <w:ind w:left="1080" w:hanging="360"/>
      </w:pPr>
      <w:rPr>
        <w:rFonts w:hint="default"/>
        <w:b w:val="0"/>
        <w:i w:val="0"/>
      </w:rPr>
    </w:lvl>
    <w:lvl w:ilvl="1">
      <w:start w:val="1"/>
      <w:numFmt w:val="decimal"/>
      <w:isLgl/>
      <w:lvlText w:val="19.%2."/>
      <w:lvlJc w:val="left"/>
      <w:pPr>
        <w:tabs>
          <w:tab w:val="num" w:pos="1140"/>
        </w:tabs>
        <w:ind w:left="1140" w:hanging="420"/>
      </w:pPr>
      <w:rPr>
        <w:rFonts w:hint="default"/>
      </w:rPr>
    </w:lvl>
    <w:lvl w:ilvl="2">
      <w:start w:val="1"/>
      <w:numFmt w:val="decimal"/>
      <w:isLgl/>
      <w:lvlText w:val="19.%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
    <w:nsid w:val="5CA1654F"/>
    <w:multiLevelType w:val="multilevel"/>
    <w:tmpl w:val="767AB358"/>
    <w:lvl w:ilvl="0">
      <w:start w:val="23"/>
      <w:numFmt w:val="decimal"/>
      <w:lvlText w:val="%1."/>
      <w:lvlJc w:val="left"/>
      <w:pPr>
        <w:tabs>
          <w:tab w:val="num" w:pos="1080"/>
        </w:tabs>
        <w:ind w:left="1080" w:hanging="360"/>
      </w:pPr>
      <w:rPr>
        <w:rFonts w:hint="default"/>
        <w:b/>
        <w:i w:val="0"/>
        <w:color w:val="auto"/>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F9"/>
    <w:rsid w:val="006E40BA"/>
    <w:rsid w:val="00ED76F9"/>
    <w:rsid w:val="00F53ED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6E40BA"/>
    <w:pPr>
      <w:spacing w:after="0" w:line="259" w:lineRule="auto"/>
      <w:jc w:val="center"/>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Default">
    <w:name w:val="Default"/>
    <w:rsid w:val="006E40BA"/>
    <w:pPr>
      <w:autoSpaceDE w:val="0"/>
      <w:autoSpaceDN w:val="0"/>
      <w:adjustRightInd w:val="0"/>
      <w:spacing w:after="0" w:line="240" w:lineRule="auto"/>
    </w:pPr>
    <w:rPr>
      <w:rFonts w:ascii="Garamond" w:eastAsia="Times New Roman" w:hAnsi="Garamond" w:cs="Garamond"/>
      <w:color w:val="000000"/>
      <w:sz w:val="24"/>
      <w:szCs w:val="24"/>
      <w:lang w:eastAsia="lt-LT"/>
    </w:rPr>
  </w:style>
  <w:style w:type="character" w:styleId="Hipersaitas">
    <w:name w:val="Hyperlink"/>
    <w:uiPriority w:val="99"/>
    <w:rsid w:val="006E40BA"/>
    <w:rPr>
      <w:color w:val="0000FF"/>
      <w:u w:val="single"/>
    </w:rPr>
  </w:style>
  <w:style w:type="paragraph" w:styleId="Sraopastraipa">
    <w:name w:val="List Paragraph"/>
    <w:basedOn w:val="prastasis"/>
    <w:uiPriority w:val="34"/>
    <w:qFormat/>
    <w:rsid w:val="006E40BA"/>
    <w:pPr>
      <w:spacing w:line="240" w:lineRule="auto"/>
      <w:ind w:left="1296"/>
      <w:jc w:val="left"/>
    </w:pPr>
    <w:rPr>
      <w:rFonts w:ascii="Times New Roman" w:eastAsia="Times New Roman" w:hAnsi="Times New Roman" w:cs="Times New Roman"/>
      <w:sz w:val="24"/>
      <w:szCs w:val="24"/>
    </w:rPr>
  </w:style>
  <w:style w:type="character" w:customStyle="1" w:styleId="hps">
    <w:name w:val="hps"/>
    <w:basedOn w:val="Numatytasispastraiposriftas"/>
    <w:rsid w:val="006E40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6E40BA"/>
    <w:pPr>
      <w:spacing w:after="0" w:line="259" w:lineRule="auto"/>
      <w:jc w:val="center"/>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Default">
    <w:name w:val="Default"/>
    <w:rsid w:val="006E40BA"/>
    <w:pPr>
      <w:autoSpaceDE w:val="0"/>
      <w:autoSpaceDN w:val="0"/>
      <w:adjustRightInd w:val="0"/>
      <w:spacing w:after="0" w:line="240" w:lineRule="auto"/>
    </w:pPr>
    <w:rPr>
      <w:rFonts w:ascii="Garamond" w:eastAsia="Times New Roman" w:hAnsi="Garamond" w:cs="Garamond"/>
      <w:color w:val="000000"/>
      <w:sz w:val="24"/>
      <w:szCs w:val="24"/>
      <w:lang w:eastAsia="lt-LT"/>
    </w:rPr>
  </w:style>
  <w:style w:type="character" w:styleId="Hipersaitas">
    <w:name w:val="Hyperlink"/>
    <w:uiPriority w:val="99"/>
    <w:rsid w:val="006E40BA"/>
    <w:rPr>
      <w:color w:val="0000FF"/>
      <w:u w:val="single"/>
    </w:rPr>
  </w:style>
  <w:style w:type="paragraph" w:styleId="Sraopastraipa">
    <w:name w:val="List Paragraph"/>
    <w:basedOn w:val="prastasis"/>
    <w:uiPriority w:val="34"/>
    <w:qFormat/>
    <w:rsid w:val="006E40BA"/>
    <w:pPr>
      <w:spacing w:line="240" w:lineRule="auto"/>
      <w:ind w:left="1296"/>
      <w:jc w:val="left"/>
    </w:pPr>
    <w:rPr>
      <w:rFonts w:ascii="Times New Roman" w:eastAsia="Times New Roman" w:hAnsi="Times New Roman" w:cs="Times New Roman"/>
      <w:sz w:val="24"/>
      <w:szCs w:val="24"/>
    </w:rPr>
  </w:style>
  <w:style w:type="character" w:customStyle="1" w:styleId="hps">
    <w:name w:val="hps"/>
    <w:basedOn w:val="Numatytasispastraiposriftas"/>
    <w:rsid w:val="006E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zlek.lt/index.php?lang=1&amp;sid=365&amp;tid=3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ilibrar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4333</Words>
  <Characters>2470</Characters>
  <Application>Microsoft Office Word</Application>
  <DocSecurity>0</DocSecurity>
  <Lines>20</Lines>
  <Paragraphs>13</Paragraphs>
  <ScaleCrop>false</ScaleCrop>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Dariaus kabinetas</dc:creator>
  <cp:keywords/>
  <dc:description/>
  <cp:lastModifiedBy>Dariaus kabinetas</cp:lastModifiedBy>
  <cp:revision>2</cp:revision>
  <dcterms:created xsi:type="dcterms:W3CDTF">2019-06-07T11:52:00Z</dcterms:created>
  <dcterms:modified xsi:type="dcterms:W3CDTF">2019-06-07T11:52:00Z</dcterms:modified>
</cp:coreProperties>
</file>