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 Chapter Outline</w:t>
      </w:r>
    </w:p>
    <w:p>
      <w:pPr>
        <w:pStyle w:val="Author"/>
      </w:pPr>
      <w:r>
        <w:t xml:space="preserve">Rylee Tomey</w:t>
      </w:r>
    </w:p>
    <w:bookmarkStart w:id="34" w:name="Xa66a3a85e85b36bab497db7eb0c1199cb8391a0"/>
    <w:p>
      <w:pPr>
        <w:pStyle w:val="Heading1"/>
      </w:pPr>
      <w:r>
        <w:t xml:space="preserve">Chapter 1: White-tailed Deer Management in the 21st Century</w:t>
      </w:r>
    </w:p>
    <w:bookmarkStart w:id="21" w:name="chapter-objective"/>
    <w:p>
      <w:pPr>
        <w:pStyle w:val="Heading2"/>
      </w:pPr>
      <w:r>
        <w:t xml:space="preserve">Chapter Objective</w:t>
      </w:r>
    </w:p>
    <w:p>
      <w:pPr>
        <w:pStyle w:val="Compact"/>
        <w:numPr>
          <w:ilvl w:val="0"/>
          <w:numId w:val="1001"/>
        </w:numPr>
      </w:pPr>
      <w:r>
        <w:t xml:space="preserve">Conduct a conceptual synthesis of white-tailed deer (WTD) population</w:t>
      </w:r>
      <w:r>
        <w:t xml:space="preserve"> </w:t>
      </w:r>
      <w:r>
        <w:t xml:space="preserve">modeling and monitoring tools as they relate to management</w:t>
      </w:r>
      <w:r>
        <w:t xml:space="preserve"> </w:t>
      </w:r>
      <w:r>
        <w:t xml:space="preserve">decision-making in the 21st century.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Evaluate the evolution of analytical approaches, identify persistent</w:t>
      </w:r>
      <w:r>
        <w:t xml:space="preserve"> </w:t>
      </w:r>
      <w:r>
        <w:t xml:space="preserve">limitations, and synthesize a pluralistic, reproducible framework</w:t>
      </w:r>
      <w:r>
        <w:t xml:space="preserve"> </w:t>
      </w:r>
      <w:r>
        <w:t xml:space="preserve">for state agency decision-making.</w:t>
      </w:r>
      <w:r>
        <w:br/>
      </w:r>
    </w:p>
    <w:p>
      <w:pPr>
        <w:pStyle w:val="FirstParagraph"/>
      </w:pPr>
      <w:r>
        <w:t xml:space="preserve">Produce a generalizable</w:t>
      </w:r>
      <w:r>
        <w:t xml:space="preserve"> </w:t>
      </w:r>
      <w:r>
        <w:rPr>
          <w:b/>
          <w:bCs/>
        </w:rPr>
        <w:t xml:space="preserve">decision-making framework</w:t>
      </w:r>
      <w:r>
        <w:t xml:space="preserve"> </w:t>
      </w:r>
      <w:r>
        <w:t xml:space="preserve">that integrates</w:t>
      </w:r>
      <w:r>
        <w:t xml:space="preserve"> </w:t>
      </w:r>
      <w:r>
        <w:t xml:space="preserve">multiple modeling approaches to address contemporary management</w:t>
      </w:r>
      <w:r>
        <w:t xml:space="preserve"> </w:t>
      </w:r>
      <w:r>
        <w:t xml:space="preserve">challenges.</w:t>
      </w:r>
    </w:p>
    <w:bookmarkStart w:id="20" w:name="introduction-and-rationale"/>
    <w:p>
      <w:pPr>
        <w:pStyle w:val="Heading3"/>
      </w:pPr>
      <w:r>
        <w:t xml:space="preserve">Introduction and Rationale</w:t>
      </w:r>
    </w:p>
    <w:p>
      <w:pPr>
        <w:pStyle w:val="Compact"/>
        <w:numPr>
          <w:ilvl w:val="0"/>
          <w:numId w:val="1002"/>
        </w:numPr>
      </w:pPr>
      <w:r>
        <w:t xml:space="preserve">Turning point in management: shifting from restoration and harvest</w:t>
      </w:r>
      <w:r>
        <w:t xml:space="preserve"> </w:t>
      </w:r>
      <w:r>
        <w:t xml:space="preserve">regulation to disease control, hunter recruitment/retention, climate</w:t>
      </w:r>
      <w:r>
        <w:t xml:space="preserve"> </w:t>
      </w:r>
      <w:r>
        <w:t xml:space="preserve">change adaptation, and sociopolitical considerations.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Current decision-making often shaped by legacy approaches from the</w:t>
      </w:r>
      <w:r>
        <w:t xml:space="preserve"> </w:t>
      </w:r>
      <w:r>
        <w:t xml:space="preserve">20th century, despite changing ecological and social contexts.</w:t>
      </w:r>
      <w:r>
        <w:br/>
      </w:r>
    </w:p>
    <w:p>
      <w:pPr>
        <w:pStyle w:val="FirstParagraph"/>
      </w:pPr>
      <w:r>
        <w:t xml:space="preserve">Absence of a standardized, transparent, and reproducible framework</w:t>
      </w:r>
      <w:r>
        <w:t xml:space="preserve"> </w:t>
      </w:r>
      <w:r>
        <w:t xml:space="preserve">hinders agency capacity to make defensible, adaptive decisions.</w:t>
      </w:r>
    </w:p>
    <w:bookmarkEnd w:id="20"/>
    <w:bookmarkEnd w:id="21"/>
    <w:bookmarkStart w:id="28" w:name="historical-foundations"/>
    <w:p>
      <w:pPr>
        <w:pStyle w:val="Heading2"/>
      </w:pPr>
      <w:r>
        <w:t xml:space="preserve">### Historical Foundations</w:t>
      </w:r>
    </w:p>
    <w:p>
      <w:pPr>
        <w:pStyle w:val="Compact"/>
        <w:numPr>
          <w:ilvl w:val="0"/>
          <w:numId w:val="1003"/>
        </w:numPr>
      </w:pPr>
      <w:r>
        <w:t xml:space="preserve">Major management eras: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Exploitation and near-extirpation</w:t>
      </w:r>
      <w:r>
        <w:t xml:space="preserve"> </w:t>
      </w:r>
      <w:r>
        <w:t xml:space="preserve">(pre-1900s)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Restoration and recovery</w:t>
      </w:r>
      <w:r>
        <w:t xml:space="preserve"> </w:t>
      </w:r>
      <w:r>
        <w:t xml:space="preserve">(1910s–1950s)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Population expansion and Quality Deer Management</w:t>
      </w:r>
      <w:r>
        <w:t xml:space="preserve"> </w:t>
      </w:r>
      <w:r>
        <w:t xml:space="preserve">(1970s–2000s)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Contemporary era</w:t>
      </w:r>
      <w:r>
        <w:t xml:space="preserve"> </w:t>
      </w:r>
      <w:r>
        <w:t xml:space="preserve">(2010s–present) — marked by disease</w:t>
      </w:r>
      <w:r>
        <w:t xml:space="preserve"> </w:t>
      </w:r>
      <w:r>
        <w:t xml:space="preserve">emergence, declining hunter participation, and broader</w:t>
      </w:r>
      <w:r>
        <w:t xml:space="preserve"> </w:t>
      </w:r>
      <w:r>
        <w:t xml:space="preserve">environmental change.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Role of the North American Model of Wildlife Conservation in shaping</w:t>
      </w:r>
      <w:r>
        <w:t xml:space="preserve"> </w:t>
      </w:r>
      <w:r>
        <w:t xml:space="preserve">funding structures, public trust mandates, and harvest regulation.</w:t>
      </w:r>
      <w:r>
        <w:br/>
      </w:r>
    </w:p>
    <w:p>
      <w:pPr>
        <w:pStyle w:val="FirstParagraph"/>
      </w:pPr>
      <w:r>
        <w:t xml:space="preserve">Legacy effects: how past successes and institutional frameworks</w:t>
      </w:r>
      <w:r>
        <w:t xml:space="preserve"> </w:t>
      </w:r>
      <w:r>
        <w:t xml:space="preserve">constrain modern adaptation.</w:t>
      </w:r>
    </w:p>
    <w:bookmarkStart w:id="23" w:name="contemporary-management-challenges"/>
    <w:p>
      <w:pPr>
        <w:pStyle w:val="Heading3"/>
      </w:pPr>
      <w:r>
        <w:t xml:space="preserve">Contemporary Management Challenges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Ecological and epidemiological drivers</w:t>
      </w:r>
      <w:r>
        <w:t xml:space="preserve">: CWD, EHD, bovine TB,</w:t>
      </w:r>
      <w:r>
        <w:t xml:space="preserve"> </w:t>
      </w:r>
      <w:r>
        <w:t xml:space="preserve">Lyme disease, climate-driven range shifts.</w:t>
      </w:r>
      <w:r>
        <w:br/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Sociocultural pressures</w:t>
      </w:r>
      <w:r>
        <w:t xml:space="preserve">: declining hunter numbers, shifting</w:t>
      </w:r>
      <w:r>
        <w:t xml:space="preserve"> </w:t>
      </w:r>
      <w:r>
        <w:t xml:space="preserve">demographics, urbanization, changing stakeholder expectations.</w:t>
      </w:r>
      <w:r>
        <w:br/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Political and institutional constraints</w:t>
      </w:r>
      <w:r>
        <w:t xml:space="preserve">: policy inertia,</w:t>
      </w:r>
      <w:r>
        <w:t xml:space="preserve"> </w:t>
      </w:r>
      <w:r>
        <w:t xml:space="preserve">mistrust in agencies, stakeholder polarization.</w:t>
      </w:r>
      <w:r>
        <w:br/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Private–public land management tensions</w:t>
      </w:r>
      <w:r>
        <w:t xml:space="preserve">: DMAP programs,</w:t>
      </w:r>
      <w:r>
        <w:t xml:space="preserve"> </w:t>
      </w:r>
      <w:r>
        <w:t xml:space="preserve">cooperative data sharing, and regulatory consistency.</w:t>
      </w:r>
    </w:p>
    <w:p>
      <w:pPr>
        <w:pStyle w:val="Heading3"/>
        <w:numPr>
          <w:ilvl w:val="0"/>
          <w:numId w:val="1000"/>
        </w:numPr>
      </w:pPr>
      <w:bookmarkStart w:id="22" w:name="current-decision-support-practices"/>
      <w:r>
        <w:t xml:space="preserve">Current Decision-Support Practices</w:t>
      </w:r>
      <w:bookmarkEnd w:id="22"/>
    </w:p>
    <w:p>
      <w:pPr>
        <w:numPr>
          <w:ilvl w:val="0"/>
          <w:numId w:val="1005"/>
        </w:numPr>
      </w:pPr>
      <w:r>
        <w:t xml:space="preserve">Dominance of harvest-based monitoring: Statistical Population</w:t>
      </w:r>
      <w:r>
        <w:t xml:space="preserve"> </w:t>
      </w:r>
      <w:r>
        <w:t xml:space="preserve">Reconstruction (SPR), Sex–Age–Kill (SAK) models — data needs,</w:t>
      </w:r>
      <w:r>
        <w:t xml:space="preserve"> </w:t>
      </w:r>
      <w:r>
        <w:t xml:space="preserve">assumptions, scalability.</w:t>
      </w:r>
      <w:r>
        <w:br/>
      </w:r>
    </w:p>
    <w:p>
      <w:pPr>
        <w:numPr>
          <w:ilvl w:val="0"/>
          <w:numId w:val="1005"/>
        </w:numPr>
      </w:pPr>
      <w:r>
        <w:t xml:space="preserve">Supplementary and alternative data sources:</w:t>
      </w:r>
    </w:p>
    <w:p>
      <w:pPr>
        <w:pStyle w:val="Compact"/>
        <w:numPr>
          <w:ilvl w:val="1"/>
          <w:numId w:val="1006"/>
        </w:numPr>
      </w:pPr>
      <w:r>
        <w:t xml:space="preserve">Camera trap surveys, including citizen science integration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Roadkill/incidental mortality reports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Telemetry and GPS collar data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Hunter effort and satisfaction surveys</w:t>
      </w:r>
      <w:r>
        <w:br/>
      </w:r>
    </w:p>
    <w:p>
      <w:pPr>
        <w:pStyle w:val="FirstParagraph"/>
      </w:pPr>
      <w:r>
        <w:t xml:space="preserve">Integration potential: double-sampling designs, linking low-resolution</w:t>
      </w:r>
      <w:r>
        <w:t xml:space="preserve"> </w:t>
      </w:r>
      <w:r>
        <w:t xml:space="preserve">extensive data with intensive localized datasets.</w:t>
      </w:r>
    </w:p>
    <w:bookmarkEnd w:id="23"/>
    <w:bookmarkStart w:id="25" w:name="Xc7ee71a402ac4f9697da037f8a9f2966b4d36a7"/>
    <w:p>
      <w:pPr>
        <w:pStyle w:val="Heading3"/>
      </w:pPr>
      <w:r>
        <w:t xml:space="preserve">Evolution of Population Modeling Approaches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Traditional approaches</w:t>
      </w:r>
      <w:r>
        <w:t xml:space="preserve">: SAK, SPR, matrix models — strengths and</w:t>
      </w:r>
      <w:r>
        <w:t xml:space="preserve"> </w:t>
      </w:r>
      <w:r>
        <w:t xml:space="preserve">weaknesses in informing harvest policy.</w:t>
      </w:r>
      <w:r>
        <w:br/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Modern approaches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Bayesian hierarchical/state-space models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Spatially explicit agent-based models (ABMs)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Hybrid and modular models combining elements of both</w:t>
      </w:r>
      <w:r>
        <w:br/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Evaluation criteria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Data requirements and availability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Interpretability for managers/stakeholders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Cost/logistical feasibility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Flexibility to evaluate alternative scenarios</w:t>
      </w:r>
      <w:r>
        <w:br/>
      </w:r>
    </w:p>
    <w:p>
      <w:pPr>
        <w:numPr>
          <w:ilvl w:val="0"/>
          <w:numId w:val="1007"/>
        </w:numPr>
      </w:pPr>
      <w:r>
        <w:t xml:space="preserve">Reproducibility and transparency</w:t>
      </w:r>
    </w:p>
    <w:p>
      <w:pPr>
        <w:pStyle w:val="Heading3"/>
        <w:numPr>
          <w:ilvl w:val="0"/>
          <w:numId w:val="1000"/>
        </w:numPr>
      </w:pPr>
      <w:bookmarkStart w:id="24" w:name="toward-a-pluralistic-bouquet-of-tools"/>
      <w:r>
        <w:t xml:space="preserve">Toward a Pluralistic</w:t>
      </w:r>
      <w:r>
        <w:t xml:space="preserve"> </w:t>
      </w:r>
      <w:r>
        <w:t xml:space="preserve">“Bouquet of Tools”</w:t>
      </w:r>
      <w:bookmarkEnd w:id="24"/>
    </w:p>
    <w:p>
      <w:pPr>
        <w:numPr>
          <w:ilvl w:val="0"/>
          <w:numId w:val="1007"/>
        </w:numPr>
      </w:pPr>
      <w:r>
        <w:t xml:space="preserve">Rationale for modular frameworks over single-model dependence.</w:t>
      </w:r>
      <w:r>
        <w:br/>
      </w:r>
    </w:p>
    <w:p>
      <w:pPr>
        <w:numPr>
          <w:ilvl w:val="0"/>
          <w:numId w:val="1007"/>
        </w:numPr>
      </w:pPr>
      <w:r>
        <w:t xml:space="preserve">Ani’s</w:t>
      </w:r>
      <w:r>
        <w:t xml:space="preserve"> </w:t>
      </w:r>
      <w:r>
        <w:t xml:space="preserve">“Rule of 3”</w:t>
      </w:r>
      <w:r>
        <w:t xml:space="preserve">: no model can answer all questions; multiple</w:t>
      </w:r>
      <w:r>
        <w:t xml:space="preserve"> </w:t>
      </w:r>
      <w:r>
        <w:t xml:space="preserve">complementary tools are needed to address the full decision space.</w:t>
      </w:r>
      <w:r>
        <w:br/>
      </w:r>
    </w:p>
    <w:p>
      <w:pPr>
        <w:pStyle w:val="FirstParagraph"/>
      </w:pPr>
      <w:r>
        <w:t xml:space="preserve">Mapping model types to decision needs (e.g., harvest optimization,</w:t>
      </w:r>
      <w:r>
        <w:t xml:space="preserve"> </w:t>
      </w:r>
      <w:r>
        <w:t xml:space="preserve">disease risk assessment, habitat change impacts).</w:t>
      </w:r>
    </w:p>
    <w:bookmarkEnd w:id="25"/>
    <w:bookmarkStart w:id="26" w:name="gaps-and-opportunities"/>
    <w:p>
      <w:pPr>
        <w:pStyle w:val="Heading3"/>
      </w:pPr>
      <w:r>
        <w:t xml:space="preserve">Gaps and Opportunities</w:t>
      </w:r>
    </w:p>
    <w:p>
      <w:pPr>
        <w:pStyle w:val="Compact"/>
        <w:numPr>
          <w:ilvl w:val="0"/>
          <w:numId w:val="1010"/>
        </w:numPr>
      </w:pPr>
      <w:r>
        <w:t xml:space="preserve">Lack of reproducible workflows and standardization across agencies.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Underuse of citizen science and participatory monitoring in formal</w:t>
      </w:r>
      <w:r>
        <w:t xml:space="preserve"> </w:t>
      </w:r>
      <w:r>
        <w:t xml:space="preserve">frameworks.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Limited cross-jurisdictional data integration and sharing.</w:t>
      </w:r>
      <w:r>
        <w:br/>
      </w:r>
    </w:p>
    <w:p>
      <w:pPr>
        <w:pStyle w:val="FirstParagraph"/>
      </w:pPr>
      <w:r>
        <w:t xml:space="preserve">Opportunities for cloud-based, interactive decision-support tools (e.g.,</w:t>
      </w:r>
      <w:r>
        <w:t xml:space="preserve"> </w:t>
      </w:r>
      <w:r>
        <w:t xml:space="preserve">Shiny, GitHub-hosted workflows) to democratize access and facilitate</w:t>
      </w:r>
      <w:r>
        <w:t xml:space="preserve"> </w:t>
      </w:r>
      <w:r>
        <w:t xml:space="preserve">adaptive management.</w:t>
      </w:r>
    </w:p>
    <w:bookmarkEnd w:id="26"/>
    <w:bookmarkStart w:id="27" w:name="X4e75b9ea870f1c13a82910e0f850e9e610e01f2"/>
    <w:p>
      <w:pPr>
        <w:pStyle w:val="Heading3"/>
      </w:pPr>
      <w:r>
        <w:t xml:space="preserve">Final Synthesis: Proposed Decision-Making Framework</w:t>
      </w:r>
    </w:p>
    <w:p>
      <w:pPr>
        <w:pStyle w:val="Compact"/>
        <w:numPr>
          <w:ilvl w:val="0"/>
          <w:numId w:val="1011"/>
        </w:numPr>
      </w:pPr>
      <w:r>
        <w:t xml:space="preserve">Core principles: generalizability, precision, reproducibility,</w:t>
      </w:r>
      <w:r>
        <w:t xml:space="preserve"> </w:t>
      </w:r>
      <w:r>
        <w:t xml:space="preserve">transparency, and adaptability.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Integration of multiple data streams with complementary modeling</w:t>
      </w:r>
      <w:r>
        <w:t xml:space="preserve"> </w:t>
      </w:r>
      <w:r>
        <w:t xml:space="preserve">approaches.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Explicit documentation of assumptions, uncertainty, and trade-offs</w:t>
      </w:r>
      <w:r>
        <w:t xml:space="preserve"> </w:t>
      </w:r>
      <w:r>
        <w:t xml:space="preserve">in decision outcomes.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Framework designed for scalability across spatial (property, zone,</w:t>
      </w:r>
      <w:r>
        <w:t xml:space="preserve"> </w:t>
      </w:r>
      <w:r>
        <w:t xml:space="preserve">state) and temporal (annual, decadal) scales.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Intended as a</w:t>
      </w:r>
      <w:r>
        <w:t xml:space="preserve"> </w:t>
      </w:r>
      <w:r>
        <w:rPr>
          <w:b/>
          <w:bCs/>
        </w:rPr>
        <w:t xml:space="preserve">decision-support blueprint</w:t>
      </w:r>
      <w:r>
        <w:t xml:space="preserve"> </w:t>
      </w:r>
      <w:r>
        <w:t xml:space="preserve">for state wildlife</w:t>
      </w:r>
      <w:r>
        <w:t xml:space="preserve"> </w:t>
      </w:r>
      <w:r>
        <w:t xml:space="preserve">agencies to guide defensible and adaptive WTD management in the 21st</w:t>
      </w:r>
      <w:r>
        <w:t xml:space="preserve"> </w:t>
      </w:r>
      <w:r>
        <w:t xml:space="preserve">century.</w:t>
      </w:r>
    </w:p>
    <w:bookmarkEnd w:id="27"/>
    <w:bookmarkEnd w:id="28"/>
    <w:bookmarkStart w:id="29" w:name="X1511d0756606f55d77108e025aa0c40b6b4299b"/>
    <w:p>
      <w:pPr>
        <w:pStyle w:val="Heading2"/>
      </w:pPr>
      <w:r>
        <w:t xml:space="preserve">Chapter 2: Building a Modeling Framework for Deer Management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t xml:space="preserve">Build an adaptable population modeling framework using Alabama as</w:t>
      </w:r>
      <w:r>
        <w:t xml:space="preserve"> </w:t>
      </w:r>
      <w:r>
        <w:t xml:space="preserve">the initial focus, centered around an ABM and designed for eventual</w:t>
      </w:r>
      <w:r>
        <w:t xml:space="preserve"> </w:t>
      </w:r>
      <w:r>
        <w:t xml:space="preserve">transferability to other states or contexts.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Outline of available harvest data, cooperator check station records,</w:t>
      </w:r>
      <w:r>
        <w:t xml:space="preserve"> </w:t>
      </w:r>
      <w:r>
        <w:t xml:space="preserve">and decision workflows currently used by Alabama DWFF.</w:t>
      </w:r>
    </w:p>
    <w:p>
      <w:pPr>
        <w:numPr>
          <w:ilvl w:val="0"/>
          <w:numId w:val="1013"/>
        </w:numPr>
      </w:pPr>
      <w:r>
        <w:t xml:space="preserve">ABM built using ODD protocol as the foundation using available data</w:t>
      </w:r>
      <w:r>
        <w:t xml:space="preserve"> </w:t>
      </w:r>
      <w:r>
        <w:t xml:space="preserve">in AL representing spatial harvest dynamics, deer life-history, and</w:t>
      </w:r>
      <w:r>
        <w:t xml:space="preserve"> </w:t>
      </w:r>
      <w:r>
        <w:t xml:space="preserve">hunter behavior.</w:t>
      </w:r>
    </w:p>
    <w:p>
      <w:pPr>
        <w:numPr>
          <w:ilvl w:val="0"/>
          <w:numId w:val="1013"/>
        </w:numPr>
      </w:pPr>
      <w:r>
        <w:t xml:space="preserve">Integrate other modeling and methods (e.g., spreadsheet</w:t>
      </w:r>
      <w:r>
        <w:t xml:space="preserve"> </w:t>
      </w:r>
      <w:r>
        <w:t xml:space="preserve">deterministic models can help initialize or calibrate the ABM)</w:t>
      </w:r>
    </w:p>
    <w:p>
      <w:pPr>
        <w:numPr>
          <w:ilvl w:val="0"/>
          <w:numId w:val="1013"/>
        </w:numPr>
      </w:pPr>
      <w:r>
        <w:t xml:space="preserve">Scenario-based evaluation: simulate the impact of regulatory changes</w:t>
      </w:r>
      <w:r>
        <w:t xml:space="preserve"> </w:t>
      </w:r>
      <w:r>
        <w:t xml:space="preserve">(e.g., season length, bag limits, spatial scale, demographic ratios)</w:t>
      </w:r>
      <w:r>
        <w:t xml:space="preserve"> </w:t>
      </w:r>
      <w:r>
        <w:t xml:space="preserve">on deer population structure and harvest outcomes.</w:t>
      </w:r>
    </w:p>
    <w:p>
      <w:pPr>
        <w:numPr>
          <w:ilvl w:val="0"/>
          <w:numId w:val="1013"/>
        </w:numPr>
      </w:pPr>
      <w:r>
        <w:t xml:space="preserve">Use trade-off analysis to visualize how decisions might perform</w:t>
      </w:r>
      <w:r>
        <w:t xml:space="preserve"> </w:t>
      </w:r>
      <w:r>
        <w:t xml:space="preserve">across multiple agency objectives (e.g., age structure, harvest</w:t>
      </w:r>
      <w:r>
        <w:t xml:space="preserve"> </w:t>
      </w:r>
      <w:r>
        <w:t xml:space="preserve">numbers, effort).</w:t>
      </w:r>
    </w:p>
    <w:p>
      <w:pPr>
        <w:pStyle w:val="FirstParagraph"/>
      </w:pPr>
      <w:r>
        <w:rPr>
          <w:b/>
          <w:bCs/>
        </w:rPr>
        <w:t xml:space="preserve">Alternatives and Additions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Demonstrate generalizability by applying model structure to a second</w:t>
      </w:r>
      <w:r>
        <w:t xml:space="preserve"> </w:t>
      </w:r>
      <w:r>
        <w:t xml:space="preserve">southeastern state using their data templates. (motivation for</w:t>
      </w:r>
      <w:r>
        <w:t xml:space="preserve"> </w:t>
      </w:r>
      <w:r>
        <w:t xml:space="preserve">participatory effort from DWFF)</w:t>
      </w:r>
    </w:p>
    <w:p>
      <w:pPr>
        <w:numPr>
          <w:ilvl w:val="0"/>
          <w:numId w:val="1014"/>
        </w:numPr>
      </w:pPr>
      <w:r>
        <w:t xml:space="preserve">Include scenarios with a decline in hunting participation and</w:t>
      </w:r>
      <w:r>
        <w:t xml:space="preserve"> </w:t>
      </w:r>
      <w:r>
        <w:t xml:space="preserve">explore alternative approaches (e.g., landowner incentives,</w:t>
      </w:r>
      <w:r>
        <w:t xml:space="preserve"> </w:t>
      </w:r>
      <w:r>
        <w:t xml:space="preserve">recruitment-focused efforts).</w:t>
      </w:r>
    </w:p>
    <w:p>
      <w:r>
        <w:pict>
          <v:rect style="width:0;height:1.5pt" o:hralign="center" o:hrstd="t" o:hr="t"/>
        </w:pict>
      </w:r>
    </w:p>
    <w:bookmarkEnd w:id="29"/>
    <w:bookmarkStart w:id="30" w:name="chapter-3"/>
    <w:p>
      <w:pPr>
        <w:pStyle w:val="Heading2"/>
      </w:pPr>
      <w:r>
        <w:t xml:space="preserve">Chapter 3</w:t>
      </w:r>
    </w:p>
    <w:bookmarkEnd w:id="30"/>
    <w:bookmarkStart w:id="31" w:name="X4d6b3da05cb33c8d353bf4b20efbafabfbfc7d9"/>
    <w:p>
      <w:pPr>
        <w:pStyle w:val="Heading2"/>
      </w:pPr>
      <w:r>
        <w:t xml:space="preserve">Option A: Integrating Evaluating Nontraditional Data for Modeling and Monitoring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Assess the potential to incorporate and validate wildlife population</w:t>
      </w:r>
      <w:r>
        <w:t xml:space="preserve"> </w:t>
      </w:r>
      <w:r>
        <w:t xml:space="preserve">models using existing data sources that are publicly available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Categorize data by structure: traditional (cooperator harvest),</w:t>
      </w:r>
      <w:r>
        <w:t xml:space="preserve"> </w:t>
      </w:r>
      <w:r>
        <w:t xml:space="preserve">semi-structured (camera projects), and unstructured (e.g., social</w:t>
      </w:r>
      <w:r>
        <w:t xml:space="preserve"> </w:t>
      </w:r>
      <w:r>
        <w:t xml:space="preserve">media, opportunistic sightings).</w:t>
      </w:r>
    </w:p>
    <w:p>
      <w:pPr>
        <w:numPr>
          <w:ilvl w:val="0"/>
          <w:numId w:val="1016"/>
        </w:numPr>
      </w:pPr>
      <w:r>
        <w:t xml:space="preserve">Test how these data could validate model predictions or refine</w:t>
      </w:r>
      <w:r>
        <w:t xml:space="preserve"> </w:t>
      </w:r>
      <w:r>
        <w:t xml:space="preserve">parameter estimates.</w:t>
      </w:r>
    </w:p>
    <w:p>
      <w:pPr>
        <w:numPr>
          <w:ilvl w:val="0"/>
          <w:numId w:val="1016"/>
        </w:numPr>
      </w:pPr>
      <w:r>
        <w:t xml:space="preserve">Build feedback loops where outputs from simulations inform</w:t>
      </w:r>
      <w:r>
        <w:t xml:space="preserve"> </w:t>
      </w:r>
      <w:r>
        <w:t xml:space="preserve">priorities for new data collection, and vice versa.</w:t>
      </w:r>
    </w:p>
    <w:p>
      <w:pPr>
        <w:numPr>
          <w:ilvl w:val="0"/>
          <w:numId w:val="1016"/>
        </w:numPr>
      </w:pPr>
      <w:r>
        <w:t xml:space="preserve">Consider implementation challenges such as standardization, storage,</w:t>
      </w:r>
      <w:r>
        <w:t xml:space="preserve"> </w:t>
      </w:r>
      <w:r>
        <w:t xml:space="preserve">legal concerns.</w:t>
      </w:r>
    </w:p>
    <w:p>
      <w:pPr>
        <w:numPr>
          <w:ilvl w:val="0"/>
          <w:numId w:val="1016"/>
        </w:numPr>
      </w:pPr>
      <w:r>
        <w:t xml:space="preserve">Highlight automation opportunities (e.g., ML image classification),</w:t>
      </w:r>
      <w:r>
        <w:t xml:space="preserve"> </w:t>
      </w:r>
      <w:r>
        <w:t xml:space="preserve">and future surveillance systems that enable more responsive</w:t>
      </w:r>
      <w:r>
        <w:t xml:space="preserve"> </w:t>
      </w:r>
      <w:r>
        <w:t xml:space="preserve">management.</w:t>
      </w:r>
    </w:p>
    <w:p>
      <w:pPr>
        <w:pStyle w:val="FirstParagraph"/>
      </w:pPr>
      <w:r>
        <w:rPr>
          <w:b/>
          <w:bCs/>
        </w:rPr>
        <w:t xml:space="preserve">Alternatives and Additions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Focus in on trail cameras as a case study—building off recent</w:t>
      </w:r>
      <w:r>
        <w:t xml:space="preserve"> </w:t>
      </w:r>
      <w:r>
        <w:t xml:space="preserve">applications in avian monitoring (e.g., Jonathon’s bird point work).</w:t>
      </w:r>
    </w:p>
    <w:bookmarkEnd w:id="31"/>
    <w:bookmarkStart w:id="32" w:name="X832fec93ebbdde9269a86629ac10227c14cccb1"/>
    <w:p>
      <w:pPr>
        <w:pStyle w:val="Heading2"/>
      </w:pPr>
      <w:r>
        <w:t xml:space="preserve">Option B: Designing Modeling Tools and Data Systems with State Agencies and Stakeholders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18"/>
        </w:numPr>
      </w:pPr>
      <w:r>
        <w:t xml:space="preserve">Work directly with Alabama DWFF and other stakeholders to co-develop</w:t>
      </w:r>
      <w:r>
        <w:t xml:space="preserve"> </w:t>
      </w:r>
      <w:r>
        <w:t xml:space="preserve">usable, trusted, and streamlined data systems and modeling</w:t>
      </w:r>
      <w:r>
        <w:t xml:space="preserve"> </w:t>
      </w:r>
      <w:r>
        <w:t xml:space="preserve">interfaces.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19"/>
        </w:numPr>
      </w:pPr>
      <w:r>
        <w:t xml:space="preserve">Identify what data is already collected (e.g., antler points, age</w:t>
      </w:r>
      <w:r>
        <w:t xml:space="preserve"> </w:t>
      </w:r>
      <w:r>
        <w:t xml:space="preserve">estimates) and evaluate how it could feed into a modeling workflow.</w:t>
      </w:r>
    </w:p>
    <w:p>
      <w:pPr>
        <w:numPr>
          <w:ilvl w:val="0"/>
          <w:numId w:val="1019"/>
        </w:numPr>
      </w:pPr>
      <w:r>
        <w:t xml:space="preserve">Propose centralized workflows to reduce archived or inconsistent</w:t>
      </w:r>
      <w:r>
        <w:t xml:space="preserve"> </w:t>
      </w:r>
      <w:r>
        <w:t xml:space="preserve">data collection (e.g., digital entry from the field, real-time</w:t>
      </w:r>
      <w:r>
        <w:t xml:space="preserve"> </w:t>
      </w:r>
      <w:r>
        <w:t xml:space="preserve">dashboards).</w:t>
      </w:r>
    </w:p>
    <w:p>
      <w:pPr>
        <w:numPr>
          <w:ilvl w:val="0"/>
          <w:numId w:val="1019"/>
        </w:numPr>
      </w:pPr>
      <w:r>
        <w:t xml:space="preserve">Conduct interviews or surveys with hunters, landowners, and agency</w:t>
      </w:r>
      <w:r>
        <w:t xml:space="preserve"> </w:t>
      </w:r>
      <w:r>
        <w:t xml:space="preserve">staff to understand trust in models, desired outputs, and</w:t>
      </w:r>
      <w:r>
        <w:t xml:space="preserve"> </w:t>
      </w:r>
      <w:r>
        <w:t xml:space="preserve">transparency needs.</w:t>
      </w:r>
    </w:p>
    <w:bookmarkEnd w:id="32"/>
    <w:bookmarkStart w:id="33" w:name="X922afddfb55f60a0b4bf6330d29fdff9ddda45e"/>
    <w:p>
      <w:pPr>
        <w:pStyle w:val="Heading2"/>
      </w:pPr>
      <w:r>
        <w:t xml:space="preserve">Option C: Modeling Stressor Interactions and Regulatory Trade-Offs in Southeastern Deer Populations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</w:t>
      </w:r>
    </w:p>
    <w:p>
      <w:pPr>
        <w:pStyle w:val="Compact"/>
        <w:numPr>
          <w:ilvl w:val="0"/>
          <w:numId w:val="1020"/>
        </w:numPr>
      </w:pPr>
      <w:r>
        <w:t xml:space="preserve">Extend the ABM to simulate how interacting population stressors such</w:t>
      </w:r>
      <w:r>
        <w:t xml:space="preserve"> </w:t>
      </w:r>
      <w:r>
        <w:t xml:space="preserve">as disease outbreaks, habitat degradation, and invasive</w:t>
      </w:r>
      <w:r>
        <w:t xml:space="preserve"> </w:t>
      </w:r>
      <w:r>
        <w:t xml:space="preserve">species—could shape management outcomes and risk-based</w:t>
      </w:r>
      <w:r>
        <w:t xml:space="preserve"> </w:t>
      </w:r>
      <w:r>
        <w:t xml:space="preserve">decision-making.</w:t>
      </w:r>
    </w:p>
    <w:p>
      <w:pPr>
        <w:pStyle w:val="FirstParagraph"/>
      </w:pPr>
      <w:r>
        <w:rPr>
          <w:b/>
          <w:bCs/>
        </w:rPr>
        <w:t xml:space="preserve">Main Points</w:t>
      </w:r>
      <w:r>
        <w:t xml:space="preserve">:</w:t>
      </w:r>
    </w:p>
    <w:p>
      <w:pPr>
        <w:numPr>
          <w:ilvl w:val="0"/>
          <w:numId w:val="1021"/>
        </w:numPr>
      </w:pPr>
      <w:r>
        <w:t xml:space="preserve">Overview of stressors: CWD, EHD, tick-borne burdens, drought</w:t>
      </w:r>
      <w:r>
        <w:t xml:space="preserve"> </w:t>
      </w:r>
      <w:r>
        <w:t xml:space="preserve">effects, competition with pigs.</w:t>
      </w:r>
    </w:p>
    <w:p>
      <w:pPr>
        <w:numPr>
          <w:ilvl w:val="0"/>
          <w:numId w:val="1021"/>
        </w:numPr>
      </w:pPr>
      <w:r>
        <w:t xml:space="preserve">Link stressor events to modeled dynamics (e.g., how reduced forage +</w:t>
      </w:r>
      <w:r>
        <w:t xml:space="preserve"> </w:t>
      </w:r>
      <w:r>
        <w:t xml:space="preserve">high density = higher disease prevalence).</w:t>
      </w:r>
    </w:p>
    <w:p>
      <w:pPr>
        <w:numPr>
          <w:ilvl w:val="0"/>
          <w:numId w:val="1021"/>
        </w:numPr>
      </w:pPr>
      <w:r>
        <w:t xml:space="preserve">Simulate compounding scenarios (e.g., drought year + reduced hunter</w:t>
      </w:r>
      <w:r>
        <w:t xml:space="preserve"> </w:t>
      </w:r>
      <w:r>
        <w:t xml:space="preserve">effort + EHD outbreak).</w:t>
      </w:r>
    </w:p>
    <w:p>
      <w:pPr>
        <w:numPr>
          <w:ilvl w:val="0"/>
          <w:numId w:val="1021"/>
        </w:numPr>
      </w:pPr>
      <w:r>
        <w:t xml:space="preserve">Evaluate cross-boundary impacts from local disturbances.</w:t>
      </w:r>
    </w:p>
    <w:p>
      <w:pPr>
        <w:numPr>
          <w:ilvl w:val="0"/>
          <w:numId w:val="1021"/>
        </w:numPr>
      </w:pPr>
      <w:r>
        <w:t xml:space="preserve">Model surveillance strategies and adaptive regulation</w:t>
      </w:r>
    </w:p>
    <w:p>
      <w:pPr>
        <w:numPr>
          <w:ilvl w:val="0"/>
          <w:numId w:val="1021"/>
        </w:numPr>
      </w:pPr>
      <w:r>
        <w:t xml:space="preserve">Include uncertainty analysis: how risk tolerance and unknowns could</w:t>
      </w:r>
      <w:r>
        <w:t xml:space="preserve"> </w:t>
      </w:r>
      <w:r>
        <w:t xml:space="preserve">shift decision thresholds.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Chapter Outline</dc:title>
  <dc:creator>Rylee Tomey</dc:creator>
  <cp:keywords/>
  <dcterms:created xsi:type="dcterms:W3CDTF">2025-08-11T18:08:01Z</dcterms:created>
  <dcterms:modified xsi:type="dcterms:W3CDTF">2025-08-11T18:08:01Z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