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D1018" w14:textId="77777777" w:rsidR="003854A7" w:rsidRPr="003854A7" w:rsidRDefault="003854A7" w:rsidP="003854A7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 w:rsidRPr="003854A7"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ADCNR GIS Hub – Rest Services Directory</w:t>
      </w:r>
    </w:p>
    <w:p w14:paraId="248F6072" w14:textId="71069082" w:rsidR="003854A7" w:rsidRPr="003854A7" w:rsidRDefault="00730ADE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 xml:space="preserve">ACCESS: </w:t>
      </w:r>
      <w:hyperlink r:id="rId5" w:history="1"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https://conservationgis.alabama.gov/adcnrweb/rest/services</w:t>
        </w:r>
      </w:hyperlink>
    </w:p>
    <w:p w14:paraId="266F05C0" w14:textId="6029026C" w:rsidR="00974FB8" w:rsidRPr="003854A7" w:rsidRDefault="003854A7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14:ligatures w14:val="none"/>
        </w:rPr>
      </w:pPr>
      <w:hyperlink r:id="rId6" w:history="1">
        <w:r w:rsidRPr="003854A7">
          <w:rPr>
            <w:rStyle w:val="Hyperlink"/>
            <w:rFonts w:ascii="Avenir Next LT Pro" w:hAnsi="Avenir Next LT Pro" w:cs="Cascadia Mono SemiBold"/>
          </w:rPr>
          <w:t>https://alabama-department-of-conservation-natural-resources-algeohub.hub.arcgis.co</w:t>
        </w:r>
        <w:r w:rsidRPr="003854A7">
          <w:rPr>
            <w:rStyle w:val="Hyperlink"/>
            <w:rFonts w:ascii="Avenir Next LT Pro" w:hAnsi="Avenir Next LT Pro" w:cs="Cascadia Mono SemiBold"/>
          </w:rPr>
          <w:t>m</w:t>
        </w:r>
        <w:r w:rsidRPr="003854A7">
          <w:rPr>
            <w:rStyle w:val="Hyperlink"/>
            <w:rFonts w:ascii="Avenir Next LT Pro" w:hAnsi="Avenir Next LT Pro" w:cs="Cascadia Mono SemiBold"/>
          </w:rPr>
          <w:t>/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3959"/>
        <w:gridCol w:w="2274"/>
      </w:tblGrid>
      <w:tr w:rsidR="00730ADE" w:rsidRPr="003854A7" w14:paraId="3DB0D9B2" w14:textId="77777777" w:rsidTr="00E14B6A">
        <w:tc>
          <w:tcPr>
            <w:tcW w:w="1667" w:type="pct"/>
          </w:tcPr>
          <w:p w14:paraId="19C10117" w14:textId="395B5C5D" w:rsidR="00730ADE" w:rsidRPr="003854A7" w:rsidRDefault="00730ADE" w:rsidP="00730ADE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ITEM</w:t>
            </w:r>
          </w:p>
        </w:tc>
        <w:tc>
          <w:tcPr>
            <w:tcW w:w="2117" w:type="pct"/>
          </w:tcPr>
          <w:p w14:paraId="1C538D66" w14:textId="09E1F4E4" w:rsidR="00730ADE" w:rsidRPr="003854A7" w:rsidRDefault="00730ADE" w:rsidP="00730ADE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DESCRIPTION</w:t>
            </w:r>
          </w:p>
        </w:tc>
        <w:tc>
          <w:tcPr>
            <w:tcW w:w="1216" w:type="pct"/>
            <w:vAlign w:val="center"/>
          </w:tcPr>
          <w:p w14:paraId="4C6444D1" w14:textId="1149345F" w:rsidR="00730ADE" w:rsidRPr="003854A7" w:rsidRDefault="00730ADE" w:rsidP="00730ADE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PROCESSING</w:t>
            </w:r>
          </w:p>
        </w:tc>
      </w:tr>
      <w:tr w:rsidR="00730ADE" w:rsidRPr="003854A7" w14:paraId="5C944D78" w14:textId="77777777" w:rsidTr="00730ADE">
        <w:tc>
          <w:tcPr>
            <w:tcW w:w="1667" w:type="pct"/>
          </w:tcPr>
          <w:p w14:paraId="463A7D47" w14:textId="77777777" w:rsidR="00730ADE" w:rsidRPr="003854A7" w:rsidRDefault="00730ADE" w:rsidP="00730ADE">
            <w:pPr>
              <w:ind w:firstLine="0"/>
              <w:jc w:val="center"/>
              <w:rPr>
                <w:rFonts w:ascii="Avenir Next LT Pro Demi" w:hAnsi="Avenir Next LT Pro Demi" w:cs="Cascadia Mono SemiBold"/>
                <w:b/>
                <w:bCs/>
              </w:rPr>
            </w:pPr>
          </w:p>
        </w:tc>
        <w:tc>
          <w:tcPr>
            <w:tcW w:w="2117" w:type="pct"/>
          </w:tcPr>
          <w:p w14:paraId="4CE4F77E" w14:textId="77777777" w:rsidR="00730ADE" w:rsidRPr="003854A7" w:rsidRDefault="00730ADE" w:rsidP="00730ADE">
            <w:pPr>
              <w:ind w:firstLine="0"/>
              <w:jc w:val="center"/>
              <w:rPr>
                <w:rFonts w:ascii="Avenir Next LT Pro Demi" w:hAnsi="Avenir Next LT Pro Demi" w:cs="Cascadia Mono SemiBold"/>
                <w:b/>
                <w:bCs/>
              </w:rPr>
            </w:pPr>
          </w:p>
        </w:tc>
        <w:tc>
          <w:tcPr>
            <w:tcW w:w="1216" w:type="pct"/>
          </w:tcPr>
          <w:p w14:paraId="06F7696E" w14:textId="77777777" w:rsidR="00730ADE" w:rsidRPr="003854A7" w:rsidRDefault="00730ADE" w:rsidP="00730ADE">
            <w:pPr>
              <w:ind w:firstLine="0"/>
              <w:jc w:val="center"/>
              <w:rPr>
                <w:rFonts w:ascii="Avenir Next LT Pro Demi" w:hAnsi="Avenir Next LT Pro Demi" w:cs="Cascadia Mono SemiBold"/>
                <w:b/>
                <w:bCs/>
              </w:rPr>
            </w:pPr>
          </w:p>
        </w:tc>
      </w:tr>
    </w:tbl>
    <w:p w14:paraId="10B7F78C" w14:textId="77777777" w:rsidR="001459DF" w:rsidRPr="003854A7" w:rsidRDefault="001459DF" w:rsidP="00974FB8">
      <w:pPr>
        <w:ind w:firstLine="0"/>
        <w:rPr>
          <w:rFonts w:ascii="Avenir Next LT Pro Demi" w:hAnsi="Avenir Next LT Pro Demi" w:cs="Cascadia Mono SemiBold"/>
        </w:rPr>
      </w:pPr>
    </w:p>
    <w:p w14:paraId="7C0A149E" w14:textId="77777777" w:rsidR="00974FB8" w:rsidRPr="003854A7" w:rsidRDefault="00974FB8" w:rsidP="00974FB8">
      <w:pPr>
        <w:ind w:firstLine="0"/>
        <w:rPr>
          <w:rFonts w:ascii="Avenir Next LT Pro Demi" w:hAnsi="Avenir Next LT Pro Demi" w:cs="Cascadia Mono SemiBold"/>
        </w:rPr>
      </w:pPr>
    </w:p>
    <w:p w14:paraId="0042968F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7" w:history="1">
        <w:r w:rsidRPr="003854A7">
          <w:rPr>
            <w:rStyle w:val="Hyperlink"/>
            <w:rFonts w:ascii="Avenir Next LT Pro Demi" w:hAnsi="Avenir Next LT Pro Demi" w:cs="Cascadia Mono SemiBold"/>
          </w:rPr>
          <w:t>https://www.alabamapublichealth.gov/healthrankings/dashboard.html</w:t>
        </w:r>
      </w:hyperlink>
    </w:p>
    <w:p w14:paraId="15968EA5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4BEB073D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8" w:history="1">
        <w:r w:rsidRPr="003854A7">
          <w:rPr>
            <w:rStyle w:val="Hyperlink"/>
            <w:rFonts w:ascii="Avenir Next LT Pro Demi" w:hAnsi="Avenir Next LT Pro Demi" w:cs="Cascadia Mono SemiBold"/>
          </w:rPr>
          <w:t>https://wonder.cdc.gov/welcome.html</w:t>
        </w:r>
      </w:hyperlink>
    </w:p>
    <w:p w14:paraId="12819951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10E38288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9" w:history="1">
        <w:r w:rsidRPr="003854A7">
          <w:rPr>
            <w:rStyle w:val="Hyperlink"/>
            <w:rFonts w:ascii="Avenir Next LT Pro Demi" w:hAnsi="Avenir Next LT Pro Demi" w:cs="Cascadia Mono SemiBold"/>
          </w:rPr>
          <w:t>https://cwd-info.org/map-chronic-wasting-disease-in-north-america/</w:t>
        </w:r>
      </w:hyperlink>
    </w:p>
    <w:p w14:paraId="0313678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1A77BB3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10" w:history="1">
        <w:r w:rsidRPr="003854A7">
          <w:rPr>
            <w:rStyle w:val="Hyperlink"/>
            <w:rFonts w:ascii="Avenir Next LT Pro Demi" w:hAnsi="Avenir Next LT Pro Demi" w:cs="Cascadia Mono SemiBold"/>
          </w:rPr>
          <w:t>https://www.usgs.gov/centers/nwhc/science/expanding-distribution-chronic-wasting-disease</w:t>
        </w:r>
      </w:hyperlink>
    </w:p>
    <w:p w14:paraId="7E566C59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54877FB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11" w:history="1">
        <w:r w:rsidRPr="003854A7">
          <w:rPr>
            <w:rStyle w:val="Hyperlink"/>
            <w:rFonts w:ascii="Avenir Next LT Pro Demi" w:hAnsi="Avenir Next LT Pro Demi" w:cs="Cascadia Mono SemiBold"/>
          </w:rPr>
          <w:t>https://whispers.usgs.gov/home</w:t>
        </w:r>
      </w:hyperlink>
    </w:p>
    <w:p w14:paraId="26575AC9" w14:textId="77777777" w:rsidR="00974FB8" w:rsidRDefault="00974FB8" w:rsidP="00974FB8">
      <w:pPr>
        <w:ind w:firstLine="0"/>
        <w:rPr>
          <w:rFonts w:ascii="Avenir Next LT Pro Demi" w:hAnsi="Avenir Next LT Pro Demi" w:cs="Cascadia Mono SemiBold"/>
        </w:rPr>
      </w:pPr>
    </w:p>
    <w:p w14:paraId="685FD8AC" w14:textId="3F7ECFC4" w:rsidR="00730ADE" w:rsidRPr="003854A7" w:rsidRDefault="00730ADE" w:rsidP="00730ADE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US Census Bureau – TIGER/Line Shapefiles 2024</w:t>
      </w:r>
    </w:p>
    <w:p w14:paraId="7BFB10FA" w14:textId="125DF7C9" w:rsidR="00730ADE" w:rsidRDefault="00730ADE" w:rsidP="00730ADE">
      <w:pPr>
        <w:pStyle w:val="ListParagraph"/>
        <w:numPr>
          <w:ilvl w:val="0"/>
          <w:numId w:val="2"/>
        </w:numPr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ACCESS: </w:t>
      </w:r>
      <w:hyperlink r:id="rId12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https://www.census.gov/cgi-bin/geo/shapefiles/index.php</w:t>
        </w:r>
      </w:hyperlink>
    </w:p>
    <w:p w14:paraId="30BB2AA9" w14:textId="6366E1F6" w:rsidR="00730ADE" w:rsidRDefault="00730ADE" w:rsidP="00730ADE">
      <w:pPr>
        <w:pStyle w:val="ListParagraph"/>
        <w:numPr>
          <w:ilvl w:val="0"/>
          <w:numId w:val="2"/>
        </w:numPr>
        <w:rPr>
          <w:rFonts w:ascii="Avenir Next LT Pro" w:hAnsi="Avenir Next LT Pro" w:cs="Cascadia Mono SemiBold"/>
        </w:rPr>
      </w:pPr>
      <w:hyperlink r:id="rId13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https://www.census.gov/geographies/mapping-files/time-series/geo/tiger-line-file.html</w:t>
        </w:r>
      </w:hyperlink>
    </w:p>
    <w:p w14:paraId="7605EC09" w14:textId="1FEF071F" w:rsidR="00730ADE" w:rsidRPr="00730ADE" w:rsidRDefault="00730ADE" w:rsidP="00730ADE">
      <w:pPr>
        <w:pStyle w:val="ListParagraph"/>
        <w:numPr>
          <w:ilvl w:val="0"/>
          <w:numId w:val="2"/>
        </w:numPr>
        <w:rPr>
          <w:rFonts w:ascii="Avenir Next LT Pro" w:hAnsi="Avenir Next LT Pro" w:cs="Cascadia Mono SemiBold"/>
        </w:rPr>
      </w:pPr>
      <w:r w:rsidRPr="00730ADE">
        <w:rPr>
          <w:rFonts w:ascii="Avenir Next LT Pro" w:hAnsi="Avenir Next LT Pro" w:cs="Cascadia Mono SemiBold"/>
        </w:rPr>
        <w:t>https://www2.census.gov/geo/pdfs/maps-data/data/tiger/tgrshp2024/TGRSHP2024_TechDoc.pdf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3959"/>
        <w:gridCol w:w="2274"/>
      </w:tblGrid>
      <w:tr w:rsidR="00730ADE" w:rsidRPr="003854A7" w14:paraId="7B30A414" w14:textId="77777777" w:rsidTr="00730ADE">
        <w:tc>
          <w:tcPr>
            <w:tcW w:w="1667" w:type="pct"/>
          </w:tcPr>
          <w:p w14:paraId="4753EB5D" w14:textId="77777777" w:rsidR="00730ADE" w:rsidRPr="003854A7" w:rsidRDefault="00730ADE" w:rsidP="00241437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ITEM</w:t>
            </w:r>
          </w:p>
        </w:tc>
        <w:tc>
          <w:tcPr>
            <w:tcW w:w="2117" w:type="pct"/>
          </w:tcPr>
          <w:p w14:paraId="79791883" w14:textId="48B5B0AE" w:rsidR="00730ADE" w:rsidRPr="003854A7" w:rsidRDefault="00730ADE" w:rsidP="00241437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DESCRIPTION</w:t>
            </w:r>
          </w:p>
        </w:tc>
        <w:tc>
          <w:tcPr>
            <w:tcW w:w="1216" w:type="pct"/>
            <w:vAlign w:val="center"/>
          </w:tcPr>
          <w:p w14:paraId="35AE4F9A" w14:textId="1043D90E" w:rsidR="00730ADE" w:rsidRPr="003854A7" w:rsidRDefault="00730ADE" w:rsidP="00730ADE">
            <w:pPr>
              <w:ind w:firstLine="0"/>
              <w:jc w:val="center"/>
              <w:rPr>
                <w:rFonts w:ascii="Avenir Next LT Pro" w:hAnsi="Avenir Next LT Pro" w:cs="Cascadia Mono SemiBold"/>
                <w:b/>
                <w:bCs/>
              </w:rPr>
            </w:pPr>
            <w:r>
              <w:rPr>
                <w:rFonts w:ascii="Avenir Next LT Pro" w:hAnsi="Avenir Next LT Pro" w:cs="Cascadia Mono SemiBold"/>
                <w:b/>
                <w:bCs/>
              </w:rPr>
              <w:t>PROCESSING</w:t>
            </w:r>
          </w:p>
        </w:tc>
      </w:tr>
      <w:tr w:rsidR="00730ADE" w:rsidRPr="003854A7" w14:paraId="198A49D1" w14:textId="77777777" w:rsidTr="00730ADE">
        <w:tc>
          <w:tcPr>
            <w:tcW w:w="1667" w:type="pct"/>
          </w:tcPr>
          <w:p w14:paraId="14138B01" w14:textId="046D1803" w:rsidR="00730ADE" w:rsidRPr="00730ADE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  <w:r>
              <w:rPr>
                <w:rFonts w:ascii="Avenir Next LT Pro Demi" w:hAnsi="Avenir Next LT Pro Demi" w:cs="Cascadia Mono SemiBold"/>
              </w:rPr>
              <w:t>countyAlabama</w:t>
            </w:r>
          </w:p>
        </w:tc>
        <w:tc>
          <w:tcPr>
            <w:tcW w:w="2117" w:type="pct"/>
          </w:tcPr>
          <w:p w14:paraId="4CC86307" w14:textId="77777777" w:rsidR="00730ADE" w:rsidRPr="00730ADE" w:rsidRDefault="00730ADE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  <w:tc>
          <w:tcPr>
            <w:tcW w:w="1216" w:type="pct"/>
          </w:tcPr>
          <w:p w14:paraId="3E8BF030" w14:textId="77777777" w:rsidR="00730ADE" w:rsidRPr="00730ADE" w:rsidRDefault="00730ADE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</w:tr>
      <w:tr w:rsidR="00851D3D" w:rsidRPr="003854A7" w14:paraId="38AD6F57" w14:textId="77777777" w:rsidTr="00730ADE">
        <w:tc>
          <w:tcPr>
            <w:tcW w:w="1667" w:type="pct"/>
          </w:tcPr>
          <w:p w14:paraId="2340ABC5" w14:textId="7A075EAA" w:rsidR="00851D3D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  <w:r>
              <w:rPr>
                <w:rFonts w:ascii="Avenir Next LT Pro Demi" w:hAnsi="Avenir Next LT Pro Demi" w:cs="Cascadia Mono SemiBold"/>
              </w:rPr>
              <w:t>stateAlabama</w:t>
            </w:r>
          </w:p>
        </w:tc>
        <w:tc>
          <w:tcPr>
            <w:tcW w:w="2117" w:type="pct"/>
          </w:tcPr>
          <w:p w14:paraId="030A7186" w14:textId="77777777" w:rsidR="00851D3D" w:rsidRPr="00730ADE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  <w:tc>
          <w:tcPr>
            <w:tcW w:w="1216" w:type="pct"/>
          </w:tcPr>
          <w:p w14:paraId="42B1C3B3" w14:textId="77777777" w:rsidR="00851D3D" w:rsidRPr="00730ADE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</w:tr>
      <w:tr w:rsidR="00851D3D" w:rsidRPr="003854A7" w14:paraId="45595594" w14:textId="77777777" w:rsidTr="00730ADE">
        <w:tc>
          <w:tcPr>
            <w:tcW w:w="1667" w:type="pct"/>
          </w:tcPr>
          <w:p w14:paraId="63BF9A56" w14:textId="4922E958" w:rsidR="00851D3D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  <w:r>
              <w:rPr>
                <w:rFonts w:ascii="Avenir Next LT Pro Demi" w:hAnsi="Avenir Next LT Pro Demi" w:cs="Cascadia Mono SemiBold"/>
              </w:rPr>
              <w:t>stateUS</w:t>
            </w:r>
          </w:p>
        </w:tc>
        <w:tc>
          <w:tcPr>
            <w:tcW w:w="2117" w:type="pct"/>
          </w:tcPr>
          <w:p w14:paraId="4890C63C" w14:textId="77777777" w:rsidR="00851D3D" w:rsidRPr="00730ADE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  <w:tc>
          <w:tcPr>
            <w:tcW w:w="1216" w:type="pct"/>
          </w:tcPr>
          <w:p w14:paraId="7511C256" w14:textId="77777777" w:rsidR="00851D3D" w:rsidRPr="00730ADE" w:rsidRDefault="00851D3D" w:rsidP="00241437">
            <w:pPr>
              <w:ind w:firstLine="0"/>
              <w:jc w:val="center"/>
              <w:rPr>
                <w:rFonts w:ascii="Avenir Next LT Pro Demi" w:hAnsi="Avenir Next LT Pro Demi" w:cs="Cascadia Mono SemiBold"/>
              </w:rPr>
            </w:pPr>
          </w:p>
        </w:tc>
      </w:tr>
    </w:tbl>
    <w:p w14:paraId="3AE31B1D" w14:textId="27F068DB" w:rsidR="00730ADE" w:rsidRPr="003854A7" w:rsidRDefault="00730ADE" w:rsidP="00974FB8">
      <w:pPr>
        <w:ind w:firstLine="0"/>
        <w:rPr>
          <w:rFonts w:ascii="Avenir Next LT Pro Demi" w:hAnsi="Avenir Next LT Pro Demi" w:cs="Cascadia Mono SemiBold"/>
        </w:rPr>
      </w:pPr>
    </w:p>
    <w:sectPr w:rsidR="00730ADE" w:rsidRPr="0038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4494"/>
    <w:multiLevelType w:val="hybridMultilevel"/>
    <w:tmpl w:val="6648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3847"/>
    <w:multiLevelType w:val="hybridMultilevel"/>
    <w:tmpl w:val="809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7986">
    <w:abstractNumId w:val="1"/>
  </w:num>
  <w:num w:numId="2" w16cid:durableId="4820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6"/>
    <w:rsid w:val="001459DF"/>
    <w:rsid w:val="00250C61"/>
    <w:rsid w:val="00377AEF"/>
    <w:rsid w:val="003854A7"/>
    <w:rsid w:val="004C47CB"/>
    <w:rsid w:val="004F3212"/>
    <w:rsid w:val="0055277E"/>
    <w:rsid w:val="00730ADE"/>
    <w:rsid w:val="007D6BB0"/>
    <w:rsid w:val="00851D3D"/>
    <w:rsid w:val="00974FB8"/>
    <w:rsid w:val="009F3296"/>
    <w:rsid w:val="00B00FC0"/>
    <w:rsid w:val="00F7260E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6B0"/>
  <w15:chartTrackingRefBased/>
  <w15:docId w15:val="{8753C0E9-2DFC-450D-A8AB-F657FEB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B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FB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74F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74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F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welcome.html" TargetMode="External"/><Relationship Id="rId13" Type="http://schemas.openxmlformats.org/officeDocument/2006/relationships/hyperlink" Target="https://www.census.gov/geographies/mapping-files/time-series/geo/tiger-line-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abamapublichealth.gov/healthrankings/dashboard.html" TargetMode="External"/><Relationship Id="rId12" Type="http://schemas.openxmlformats.org/officeDocument/2006/relationships/hyperlink" Target="https://www.census.gov/cgi-bin/geo/shapefile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bama-department-of-conservation-natural-resources-algeohub.hub.arcgis.com/" TargetMode="External"/><Relationship Id="rId11" Type="http://schemas.openxmlformats.org/officeDocument/2006/relationships/hyperlink" Target="https://whispers.usgs.gov/home" TargetMode="External"/><Relationship Id="rId5" Type="http://schemas.openxmlformats.org/officeDocument/2006/relationships/hyperlink" Target="https://conservationgis.alabama.gov/adcnrweb/rest/servi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sgs.gov/centers/nwhc/science/expanding-distribution-chronic-wasting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d-info.org/map-chronic-wasting-disease-in-north-ameri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2</cp:revision>
  <dcterms:created xsi:type="dcterms:W3CDTF">2025-04-15T21:09:00Z</dcterms:created>
  <dcterms:modified xsi:type="dcterms:W3CDTF">2025-04-16T00:06:00Z</dcterms:modified>
</cp:coreProperties>
</file>