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color w:val="595959"/>
          <w:sz w:val="24"/>
        </w:rPr>
        <w:t>차세대반도체 경진대회 제출 보고서</w:t>
      </w:r>
    </w:p>
    <w:p>
      <w:pPr>
        <w:spacing w:before="400"/>
        <w:jc w:val="center"/>
      </w:pPr>
      <w:r>
        <w:rPr>
          <w:b/>
          <w:color w:val="1F3864"/>
          <w:sz w:val="44"/>
        </w:rPr>
        <w:t>FinFET pMOS Embedded SiGe S/D의</w:t>
        <w:br/>
        <w:t>응력 전달 효율(STE) 특성화 및</w:t>
        <w:br/>
        <w:t>실용적 공정 마진 도출</w:t>
      </w:r>
    </w:p>
    <w:p>
      <w:pPr>
        <w:spacing w:before="600"/>
        <w:jc w:val="center"/>
      </w:pPr>
      <w:r>
        <w:rPr>
          <w:sz w:val="26"/>
        </w:rPr>
        <w:t>유용성 · 주수빈 · 남다연</w:t>
      </w:r>
    </w:p>
    <w:p>
      <w:pPr>
        <w:jc w:val="center"/>
      </w:pPr>
      <w:r>
        <w:rPr>
          <w:color w:val="595959"/>
          <w:sz w:val="22"/>
        </w:rPr>
        <w:t>2026년 8월</w:t>
      </w:r>
    </w:p>
    <w:p/>
    <w:p/>
    <w:p/>
    <w:p/>
    <w:p/>
    <w:p/>
    <w:tbl>
      <w:tblPr>
        <w:tblW w:type="auto" w:w="0"/>
        <w:jc w:val="center"/>
        <w:tblLook w:firstColumn="1" w:firstRow="1" w:lastColumn="0" w:lastRow="0" w:noHBand="0" w:noVBand="1" w:val="04A0"/>
      </w:tblPr>
      <w:tblGrid>
        <w:gridCol w:w="4706"/>
        <w:gridCol w:w="4706"/>
      </w:tblGrid>
      <w:tr>
        <w:tc>
          <w:tcPr>
            <w:tcW w:type="dxa" w:w="4706"/>
            <w:shd w:val="clear" w:color="auto" w:fill="EEF3FA"/>
            <w:tcW w:w="2400" w:type="dxa"/>
          </w:tcPr>
          <w:p>
            <w:r>
              <w:rPr>
                <w:b/>
                <w:sz w:val="19"/>
              </w:rPr>
              <w:t>대상 소자</w:t>
            </w:r>
          </w:p>
        </w:tc>
        <w:tc>
          <w:tcPr>
            <w:tcW w:type="dxa" w:w="4706"/>
            <w:tcW w:w="6600" w:type="dxa"/>
          </w:tcPr>
          <w:p>
            <w:r>
              <w:rPr>
                <w:sz w:val="19"/>
              </w:rPr>
              <w:t>FinFET pMOS, Embedded SiGe Source/Drain (게이트 길이 25 nm)</w:t>
            </w:r>
          </w:p>
        </w:tc>
      </w:tr>
      <w:tr>
        <w:tc>
          <w:tcPr>
            <w:tcW w:type="dxa" w:w="4706"/>
            <w:shd w:val="clear" w:color="auto" w:fill="EEF3FA"/>
            <w:tcW w:w="2400" w:type="dxa"/>
          </w:tcPr>
          <w:p>
            <w:r>
              <w:rPr>
                <w:b/>
                <w:sz w:val="19"/>
              </w:rPr>
              <w:t>시뮬레이션</w:t>
            </w:r>
          </w:p>
        </w:tc>
        <w:tc>
          <w:tcPr>
            <w:tcW w:type="dxa" w:w="4706"/>
            <w:tcW w:w="6600" w:type="dxa"/>
          </w:tcPr>
          <w:p>
            <w:r>
              <w:rPr>
                <w:sz w:val="19"/>
              </w:rPr>
              <w:t>Synopsys Sentaurus TCAD (SProcess / SDevice / SVisual)</w:t>
            </w:r>
          </w:p>
        </w:tc>
      </w:tr>
      <w:tr>
        <w:tc>
          <w:tcPr>
            <w:tcW w:type="dxa" w:w="4706"/>
            <w:shd w:val="clear" w:color="auto" w:fill="EEF3FA"/>
            <w:tcW w:w="2400" w:type="dxa"/>
          </w:tcPr>
          <w:p>
            <w:r>
              <w:rPr>
                <w:b/>
                <w:sz w:val="19"/>
              </w:rPr>
              <w:t>설계 실험</w:t>
            </w:r>
          </w:p>
        </w:tc>
        <w:tc>
          <w:tcPr>
            <w:tcW w:type="dxa" w:w="4706"/>
            <w:tcW w:w="6600" w:type="dxa"/>
          </w:tcPr>
          <w:p>
            <w:r>
              <w:rPr>
                <w:sz w:val="19"/>
              </w:rPr>
              <w:t>Ge 조성 × 리세스 깊이(FR) 5 × 5 = 25 격자점</w:t>
            </w:r>
          </w:p>
        </w:tc>
      </w:tr>
    </w:tbl>
    <w:p>
      <w:r>
        <w:br w:type="page"/>
      </w:r>
    </w:p>
    <w:p/>
    <w:p>
      <w:pPr>
        <w:pStyle w:val="Heading1"/>
        <w:spacing w:before="280" w:after="160"/>
      </w:pPr>
      <w:r>
        <w:rPr>
          <w:color w:val="1F3864"/>
          <w:sz w:val="32"/>
        </w:rPr>
        <w:t>요약</w:t>
      </w:r>
    </w:p>
    <w:p>
      <w:pPr>
        <w:spacing w:after="120"/>
      </w:pPr>
      <w:r>
        <w:rPr>
          <w:b w:val="0"/>
          <w:i w:val="0"/>
          <w:sz w:val="21"/>
        </w:rPr>
        <w:t xml:space="preserve">Embedded SiGe Source/Drain 응력공학에서 기존 접근은 Ge 조성이라는 재료 변수에 집중해 왔다. 본 연구는 공정으로 투입한 응력이 채널까지 전달되는 비율을 </w:t>
      </w:r>
      <w:r>
        <w:rPr>
          <w:b/>
          <w:i w:val="0"/>
          <w:sz w:val="21"/>
        </w:rPr>
        <w:t>응력 전달 효율(STE)</w:t>
      </w:r>
      <w:r>
        <w:rPr>
          <w:b w:val="0"/>
          <w:i w:val="0"/>
          <w:sz w:val="21"/>
        </w:rPr>
        <w:t>로 정의하고, Ge 조성(30~70%)과 리세스 깊이 FR(0~35 nm)의 5 × 5 = 25 격자점 TCAD 설계실험으로 이를 특성화했다.</w:t>
      </w:r>
    </w:p>
    <w:p>
      <w:pPr>
        <w:pStyle w:val="ListBullet"/>
        <w:spacing w:after="60"/>
      </w:pPr>
      <w:r>
        <w:rPr>
          <w:b/>
          <w:i w:val="0"/>
          <w:sz w:val="21"/>
        </w:rPr>
        <w:t xml:space="preserve">전달 효율을 결정하는 변수는 FR이다. </w:t>
      </w:r>
      <w:r>
        <w:rPr>
          <w:b w:val="0"/>
          <w:i w:val="0"/>
          <w:sz w:val="21"/>
        </w:rPr>
        <w:t>절대 응력 기준으로는 Ge 조성이 지배적이나(t = −61.78), STE로 정규화하면 Ge 조성의 효과가 통계적으로 소멸하고(t = 0.32) FR이 지배 변수가 된다(t = 8.41). 두 지도의 등고선이 서로 90도 회전한다.</w:t>
      </w:r>
    </w:p>
    <w:p>
      <w:pPr>
        <w:pStyle w:val="ListBullet"/>
        <w:spacing w:after="60"/>
      </w:pPr>
      <w:r>
        <w:rPr>
          <w:b/>
          <w:i w:val="0"/>
          <w:sz w:val="21"/>
        </w:rPr>
        <w:t xml:space="preserve">두 변수는 독립적으로 작용한다. </w:t>
      </w:r>
      <w:r>
        <w:rPr>
          <w:b w:val="0"/>
          <w:i w:val="0"/>
          <w:sz w:val="21"/>
        </w:rPr>
        <w:t>교호작용 항이 두 기준 모두에서 유의하지 않아(|t| = 1.57, 0.82), 각 변수를 개별적으로 최적화할 수 있다.</w:t>
      </w:r>
    </w:p>
    <w:p>
      <w:pPr>
        <w:pStyle w:val="ListBullet"/>
        <w:spacing w:after="60"/>
      </w:pPr>
      <w:r>
        <w:rPr>
          <w:b/>
          <w:i w:val="0"/>
          <w:sz w:val="21"/>
        </w:rPr>
        <w:t xml:space="preserve">실용 설계창은 FR ≈ 15~20 nm이다. </w:t>
      </w:r>
      <w:r>
        <w:rPr>
          <w:b w:val="0"/>
          <w:i w:val="0"/>
          <w:sz w:val="21"/>
        </w:rPr>
        <w:t>STE는 FR ≈ 20 nm에서 최댓값의 99.6% 수준으로 포화하는 반면, 바로 그 지점부터 게이트 제어와 누설이 급격히 악화된다. 이득/대가 비율이 FR = 20 nm를 경계로 약 7.6배 급락한다. 응력 최댓값 지점은 최적 설계점이 아니다.</w:t>
      </w:r>
    </w:p>
    <w:p>
      <w:pPr>
        <w:pStyle w:val="ListBullet"/>
        <w:spacing w:after="60"/>
      </w:pPr>
      <w:r>
        <w:rPr>
          <w:b/>
          <w:i w:val="0"/>
          <w:sz w:val="21"/>
        </w:rPr>
        <w:t xml:space="preserve">Ge 조성의 비용은 누설로 국한된다. </w:t>
      </w:r>
      <w:r>
        <w:rPr>
          <w:b w:val="0"/>
          <w:i w:val="0"/>
          <w:sz w:val="21"/>
        </w:rPr>
        <w:t>형상이 동일한 조건에서 Ge 30 → 70% 변화 시 정전제어 지표는 변하지 않고 누설만 약 6배 증가한다.</w:t>
      </w:r>
    </w:p>
    <w:p>
      <w:pPr>
        <w:pStyle w:val="ListBullet"/>
        <w:spacing w:after="60"/>
      </w:pPr>
      <w:r>
        <w:rPr>
          <w:b/>
          <w:i w:val="0"/>
          <w:sz w:val="21"/>
        </w:rPr>
        <w:t xml:space="preserve">소자가 미세화될수록 FR 상한은 더 엄격해진다. </w:t>
      </w:r>
      <w:r>
        <w:rPr>
          <w:b w:val="0"/>
          <w:i w:val="0"/>
          <w:sz w:val="21"/>
        </w:rPr>
        <w:t>fin 폭을 절반으로 줄이면 FR ≤ 20 nm 구간에서 정전제어(SSlin 65 ~ 66 mV/dec)와 전달 효율(STE +10%)이 동시에 개선되지만, FR = 35 nm에서는 문턱전압이 0.07 V까지 붕괴해 관계가 역전된다.</w:t>
      </w:r>
    </w:p>
    <w:p/>
    <w:p>
      <w:pPr>
        <w:pStyle w:val="Heading1"/>
        <w:spacing w:before="280" w:after="160"/>
      </w:pPr>
      <w:r>
        <w:rPr>
          <w:color w:val="1F3864"/>
          <w:sz w:val="32"/>
        </w:rPr>
        <w:t>I. 서론</w:t>
      </w:r>
    </w:p>
    <w:p>
      <w:pPr>
        <w:pStyle w:val="Heading2"/>
        <w:spacing w:before="240" w:after="120"/>
      </w:pPr>
      <w:r>
        <w:rPr>
          <w:color w:val="305496"/>
          <w:sz w:val="26"/>
        </w:rPr>
        <w:t>1.1  연구 배경</w:t>
      </w:r>
    </w:p>
    <w:p>
      <w:pPr>
        <w:spacing w:after="120"/>
      </w:pPr>
      <w:r>
        <w:rPr>
          <w:b w:val="0"/>
          <w:i w:val="0"/>
          <w:sz w:val="21"/>
        </w:rPr>
        <w:t>FinFET pMOS의 소스/드레인 영역을 식각한 뒤 SiGe를 에피택셜 성장시키면(Embedded SiGe S/D), SiGe가 기판 Si 격자에 정합 성장하며 압축 변형을 저장한다. 이 변형의 탄성 반발력이 채널에 단축 압축응력을 가해 정공 유효질량을 낮추고, 이동도와 구동전류를 개선한다. 양산 공정에 확립된 기법이다.</w:t>
      </w:r>
    </w:p>
    <w:p>
      <w:pPr>
        <w:spacing w:after="120"/>
      </w:pPr>
      <w:r>
        <w:rPr>
          <w:b w:val="0"/>
          <w:i w:val="0"/>
          <w:sz w:val="21"/>
        </w:rPr>
        <w:t xml:space="preserve">Vegard's law에 따라 SiGe의 격자 부정합은 Ge 조성에 선형 비례한다(f(x) = 0.042·x). 따라서 기존 접근은 Ge 조성을 높여 명목 응력을 키우는 </w:t>
      </w:r>
      <w:r>
        <w:rPr>
          <w:b/>
          <w:i w:val="0"/>
          <w:sz w:val="21"/>
        </w:rPr>
        <w:t>재료적 변수의 최적화</w:t>
      </w:r>
      <w:r>
        <w:rPr>
          <w:b w:val="0"/>
          <w:i w:val="0"/>
          <w:sz w:val="21"/>
        </w:rPr>
        <w:t>에 집중해 왔다.</w:t>
      </w:r>
    </w:p>
    <w:p>
      <w:pPr>
        <w:spacing w:after="120"/>
      </w:pPr>
      <w:r>
        <w:rPr>
          <w:b w:val="0"/>
          <w:i w:val="0"/>
          <w:sz w:val="21"/>
        </w:rPr>
        <w:t>그러나 이 접근은 투입한 응력이 채널까지 그대로 전달된다는 것을 암묵적 전제로 삼는다. 실제로는 응력원과 채널 사이에 형상, 리세스 깊이, 기하학적 구속 조건이 개입하며, 투입 응력의 상당 부분이 채널에 도달하기 전에 완화될 수 있다. 이 경우 Ge 조성을 높여 얻은 명목 응력의 증가분이 실제 성능으로 이어지는 비율은 별도의 문제가 된다.</w:t>
      </w:r>
    </w:p>
    <w:p>
      <w:pPr>
        <w:pStyle w:val="Heading2"/>
        <w:spacing w:before="240" w:after="120"/>
      </w:pPr>
      <w:r>
        <w:rPr>
          <w:color w:val="305496"/>
          <w:sz w:val="26"/>
        </w:rPr>
        <w:t>1.2  연구 목적</w:t>
      </w:r>
    </w:p>
    <w:tbl>
      <w:tblPr>
        <w:tblW w:type="auto" w:w="0"/>
        <w:jc w:val="center"/>
        <w:tblLook w:firstColumn="1" w:firstRow="1" w:lastColumn="0" w:lastRow="0" w:noHBand="0" w:noVBand="1" w:val="04A0"/>
      </w:tblPr>
      <w:tblGrid>
        <w:gridCol w:w="9412"/>
      </w:tblGrid>
      <w:tr>
        <w:tc>
          <w:tcPr>
            <w:tcW w:type="dxa" w:w="9412"/>
            <w:shd w:val="clear" w:color="auto" w:fill="EEF3FA"/>
            <w:tcW w:w="9000" w:type="dxa"/>
          </w:tcPr>
          <w:p>
            <w:r>
              <w:rPr>
                <w:b/>
                <w:color w:val="1F3864"/>
                <w:sz w:val="21"/>
              </w:rPr>
              <w:t>연구 질문</w:t>
            </w:r>
          </w:p>
          <w:p>
            <w:r>
              <w:rPr>
                <w:sz w:val="21"/>
              </w:rPr>
              <w:t>공정으로 투입한 응력이 채널까지 얼마나 효율적으로 전달되는가? 그리고 그 전달 효율은 어떤 공정 변수가, 얼마나 결정하는가?</w:t>
            </w:r>
          </w:p>
        </w:tc>
      </w:tr>
    </w:tbl>
    <w:p/>
    <w:p>
      <w:pPr>
        <w:spacing w:after="120"/>
      </w:pPr>
      <w:r>
        <w:rPr>
          <w:b w:val="0"/>
          <w:i w:val="0"/>
          <w:sz w:val="21"/>
        </w:rPr>
        <w:t xml:space="preserve">이를 정량화하기 위해 </w:t>
      </w:r>
      <w:r>
        <w:rPr>
          <w:b/>
          <w:i w:val="0"/>
          <w:sz w:val="21"/>
        </w:rPr>
        <w:t>응력 전달 효율(Stress Transfer Efficiency, STE)</w:t>
      </w:r>
      <w:r>
        <w:rPr>
          <w:b w:val="0"/>
          <w:i w:val="0"/>
          <w:sz w:val="21"/>
        </w:rPr>
        <w:t>을 다음과 같이 정의한다.</w:t>
      </w:r>
    </w:p>
    <w:p>
      <w:pPr>
        <w:jc w:val="center"/>
      </w:pPr>
      <w:r>
        <w:rPr>
          <w:b/>
          <w:color w:val="1F3864"/>
          <w:sz w:val="23"/>
        </w:rPr>
        <w:t>STE  =  | σ(채널 실측) |  ÷  ( M × 0.042 × x )</w:t>
      </w:r>
    </w:p>
    <w:p>
      <w:pPr>
        <w:spacing w:after="120"/>
      </w:pPr>
      <w:r>
        <w:rPr>
          <w:b w:val="0"/>
          <w:i w:val="0"/>
          <w:sz w:val="21"/>
        </w:rPr>
        <w:t xml:space="preserve">x는 Ge 몰분율, 0.042는 Vegard's law 계수, M은 이축탄성계수(180 GPa)이다. 분모는 Ge 조성만으로 결정되는 </w:t>
      </w:r>
      <w:r>
        <w:rPr>
          <w:b/>
          <w:i w:val="0"/>
          <w:sz w:val="21"/>
        </w:rPr>
        <w:t>명목 응력</w:t>
      </w:r>
      <w:r>
        <w:rPr>
          <w:b w:val="0"/>
          <w:i w:val="0"/>
          <w:sz w:val="21"/>
        </w:rPr>
        <w:t xml:space="preserve">, 분자는 TCAD로 실측한 </w:t>
      </w:r>
      <w:r>
        <w:rPr>
          <w:b/>
          <w:i w:val="0"/>
          <w:sz w:val="21"/>
        </w:rPr>
        <w:t>채널 내 실제 응력</w:t>
      </w:r>
      <w:r>
        <w:rPr>
          <w:b w:val="0"/>
          <w:i w:val="0"/>
          <w:sz w:val="21"/>
        </w:rPr>
        <w:t>이다.</w:t>
      </w:r>
    </w:p>
    <w:p>
      <w:pPr>
        <w:spacing w:after="120"/>
      </w:pPr>
      <w:r>
        <w:rPr>
          <w:b w:val="0"/>
          <w:i w:val="0"/>
          <w:sz w:val="21"/>
        </w:rPr>
        <w:t xml:space="preserve">절대 응력만 관찰하면 투입량과 전달량이 분리되지 않는다. 두 값을 나누면 어떤 변수가 응력의 </w:t>
      </w:r>
      <w:r>
        <w:rPr>
          <w:b/>
          <w:i w:val="0"/>
          <w:sz w:val="21"/>
        </w:rPr>
        <w:t>양</w:t>
      </w:r>
      <w:r>
        <w:rPr>
          <w:b w:val="0"/>
          <w:i w:val="0"/>
          <w:sz w:val="21"/>
        </w:rPr>
        <w:t xml:space="preserve">을 결정하고 어떤 변수가 </w:t>
      </w:r>
      <w:r>
        <w:rPr>
          <w:b/>
          <w:i w:val="0"/>
          <w:sz w:val="21"/>
        </w:rPr>
        <w:t>전달 효율</w:t>
      </w:r>
      <w:r>
        <w:rPr>
          <w:b w:val="0"/>
          <w:i w:val="0"/>
          <w:sz w:val="21"/>
        </w:rPr>
        <w:t>을 결정하는지를 구분해 볼 수 있으며, 이는 공정 설계에서 두 변수에 서로 다른 역할을 배정할 수 있음을 의미한다.</w:t>
      </w:r>
    </w:p>
    <w:p/>
    <w:p>
      <w:pPr>
        <w:pStyle w:val="Heading1"/>
        <w:spacing w:before="280" w:after="160"/>
      </w:pPr>
      <w:r>
        <w:rPr>
          <w:color w:val="1F3864"/>
          <w:sz w:val="32"/>
        </w:rPr>
        <w:t>II. 연구 방법</w:t>
      </w:r>
    </w:p>
    <w:p>
      <w:pPr>
        <w:pStyle w:val="Heading2"/>
        <w:spacing w:before="240" w:after="120"/>
      </w:pPr>
      <w:r>
        <w:rPr>
          <w:color w:val="305496"/>
          <w:sz w:val="26"/>
        </w:rPr>
        <w:t>2.1  소자 구조 및 기준 조건</w:t>
      </w:r>
    </w:p>
    <w:p>
      <w:pPr>
        <w:spacing w:after="120"/>
      </w:pPr>
      <w:r>
        <w:rPr>
          <w:b w:val="0"/>
          <w:i w:val="0"/>
          <w:sz w:val="21"/>
        </w:rPr>
        <w:t>Sentaurus TCAD로 FinFET pMOS 구조를 생성하고 전기 특성을 산출했다. 전 격자점에 공통 적용한 기준 조건은 다음과 같다.</w:t>
      </w:r>
    </w:p>
    <w:tbl>
      <w:tblPr>
        <w:tblStyle w:val="TableGrid"/>
        <w:tblW w:type="auto" w:w="0"/>
        <w:jc w:val="center"/>
        <w:tblLayout w:type="fixed"/>
        <w:tblLook w:firstColumn="1" w:firstRow="1" w:lastColumn="0" w:lastRow="0" w:noHBand="0" w:noVBand="1" w:val="04A0"/>
      </w:tblPr>
      <w:tblGrid>
        <w:gridCol w:w="1260"/>
        <w:gridCol w:w="4140"/>
        <w:gridCol w:w="3600"/>
      </w:tblGrid>
      <w:tr>
        <w:tc>
          <w:tcPr>
            <w:shd w:val="clear" w:color="auto" w:fill="305496"/>
            <w:tcW w:w="1260" w:type="dxa"/>
          </w:tcPr>
          <w:p>
            <w:pPr>
              <w:jc w:val="center"/>
            </w:pPr>
            <w:r>
              <w:rPr>
                <w:b/>
                <w:color w:val="FFFFFF"/>
                <w:sz w:val="19"/>
              </w:rPr>
              <w:t>구분</w:t>
            </w:r>
          </w:p>
        </w:tc>
        <w:tc>
          <w:tcPr>
            <w:shd w:val="clear" w:color="auto" w:fill="305496"/>
            <w:tcW w:w="4140" w:type="dxa"/>
          </w:tcPr>
          <w:p>
            <w:pPr>
              <w:jc w:val="center"/>
            </w:pPr>
            <w:r>
              <w:rPr>
                <w:b/>
                <w:color w:val="FFFFFF"/>
                <w:sz w:val="19"/>
              </w:rPr>
              <w:t>항목</w:t>
            </w:r>
          </w:p>
        </w:tc>
        <w:tc>
          <w:tcPr>
            <w:shd w:val="clear" w:color="auto" w:fill="305496"/>
            <w:tcW w:w="3600" w:type="dxa"/>
          </w:tcPr>
          <w:p>
            <w:pPr>
              <w:jc w:val="center"/>
            </w:pPr>
            <w:r>
              <w:rPr>
                <w:b/>
                <w:color w:val="FFFFFF"/>
                <w:sz w:val="19"/>
              </w:rPr>
              <w:t>값</w:t>
            </w:r>
          </w:p>
        </w:tc>
      </w:tr>
      <w:tr>
        <w:tc>
          <w:tcPr>
            <w:tcW w:w="1260" w:type="dxa"/>
          </w:tcPr>
          <w:p>
            <w:r>
              <w:rPr>
                <w:sz w:val="19"/>
              </w:rPr>
              <w:t>형상</w:t>
            </w:r>
          </w:p>
        </w:tc>
        <w:tc>
          <w:tcPr>
            <w:tcW w:w="4140" w:type="dxa"/>
          </w:tcPr>
          <w:p>
            <w:pPr>
              <w:jc w:val="center"/>
            </w:pPr>
            <w:r>
              <w:rPr>
                <w:sz w:val="19"/>
              </w:rPr>
              <w:t>게이트 길이 (L)</w:t>
            </w:r>
          </w:p>
        </w:tc>
        <w:tc>
          <w:tcPr>
            <w:tcW w:w="3600" w:type="dxa"/>
          </w:tcPr>
          <w:p>
            <w:pPr>
              <w:jc w:val="center"/>
            </w:pPr>
            <w:r>
              <w:rPr>
                <w:sz w:val="19"/>
              </w:rPr>
              <w:t>25 nm</w:t>
            </w:r>
          </w:p>
        </w:tc>
      </w:tr>
      <w:tr>
        <w:tc>
          <w:tcPr>
            <w:shd w:val="clear" w:color="auto" w:fill="F4F6FA"/>
            <w:tcW w:w="1260" w:type="dxa"/>
          </w:tcPr>
          <w:p>
            <w:r>
              <w:rPr>
                <w:sz w:val="19"/>
              </w:rPr>
            </w:r>
          </w:p>
        </w:tc>
        <w:tc>
          <w:tcPr>
            <w:shd w:val="clear" w:color="auto" w:fill="F4F6FA"/>
            <w:tcW w:w="4140" w:type="dxa"/>
          </w:tcPr>
          <w:p>
            <w:pPr>
              <w:jc w:val="center"/>
            </w:pPr>
            <w:r>
              <w:rPr>
                <w:sz w:val="19"/>
              </w:rPr>
              <w:t>fin 높이 (H)</w:t>
            </w:r>
          </w:p>
        </w:tc>
        <w:tc>
          <w:tcPr>
            <w:shd w:val="clear" w:color="auto" w:fill="F4F6FA"/>
            <w:tcW w:w="3600" w:type="dxa"/>
          </w:tcPr>
          <w:p>
            <w:pPr>
              <w:jc w:val="center"/>
            </w:pPr>
            <w:r>
              <w:rPr>
                <w:sz w:val="19"/>
              </w:rPr>
              <w:t>35 nm</w:t>
            </w:r>
          </w:p>
        </w:tc>
      </w:tr>
      <w:tr>
        <w:tc>
          <w:tcPr>
            <w:tcW w:w="1260" w:type="dxa"/>
          </w:tcPr>
          <w:p>
            <w:r>
              <w:rPr>
                <w:sz w:val="19"/>
              </w:rPr>
            </w:r>
          </w:p>
        </w:tc>
        <w:tc>
          <w:tcPr>
            <w:tcW w:w="4140" w:type="dxa"/>
          </w:tcPr>
          <w:p>
            <w:pPr>
              <w:jc w:val="center"/>
            </w:pPr>
            <w:r>
              <w:rPr>
                <w:sz w:val="19"/>
              </w:rPr>
              <w:t>fin 폭 (Wtop / Wbottom)</w:t>
            </w:r>
          </w:p>
        </w:tc>
        <w:tc>
          <w:tcPr>
            <w:tcW w:w="3600" w:type="dxa"/>
          </w:tcPr>
          <w:p>
            <w:pPr>
              <w:jc w:val="center"/>
            </w:pPr>
            <w:r>
              <w:rPr>
                <w:sz w:val="19"/>
              </w:rPr>
              <w:t>15 nm</w:t>
            </w:r>
          </w:p>
        </w:tc>
      </w:tr>
      <w:tr>
        <w:tc>
          <w:tcPr>
            <w:shd w:val="clear" w:color="auto" w:fill="F4F6FA"/>
            <w:tcW w:w="1260" w:type="dxa"/>
          </w:tcPr>
          <w:p>
            <w:r>
              <w:rPr>
                <w:sz w:val="19"/>
              </w:rPr>
            </w:r>
          </w:p>
        </w:tc>
        <w:tc>
          <w:tcPr>
            <w:shd w:val="clear" w:color="auto" w:fill="F4F6FA"/>
            <w:tcW w:w="4140" w:type="dxa"/>
          </w:tcPr>
          <w:p>
            <w:pPr>
              <w:jc w:val="center"/>
            </w:pPr>
            <w:r>
              <w:rPr>
                <w:sz w:val="19"/>
              </w:rPr>
              <w:t>S/D–채널 가로 근접거리 (Esd)</w:t>
            </w:r>
          </w:p>
        </w:tc>
        <w:tc>
          <w:tcPr>
            <w:shd w:val="clear" w:color="auto" w:fill="F4F6FA"/>
            <w:tcW w:w="3600" w:type="dxa"/>
          </w:tcPr>
          <w:p>
            <w:pPr>
              <w:jc w:val="center"/>
            </w:pPr>
            <w:r>
              <w:rPr>
                <w:sz w:val="19"/>
              </w:rPr>
              <w:t>7.5 nm</w:t>
            </w:r>
          </w:p>
        </w:tc>
      </w:tr>
      <w:tr>
        <w:tc>
          <w:tcPr>
            <w:tcW w:w="1260" w:type="dxa"/>
          </w:tcPr>
          <w:p>
            <w:r>
              <w:rPr>
                <w:sz w:val="19"/>
              </w:rPr>
              <w:t>도핑</w:t>
            </w:r>
          </w:p>
        </w:tc>
        <w:tc>
          <w:tcPr>
            <w:tcW w:w="4140" w:type="dxa"/>
          </w:tcPr>
          <w:p>
            <w:pPr>
              <w:jc w:val="center"/>
            </w:pPr>
            <w:r>
              <w:rPr>
                <w:sz w:val="19"/>
              </w:rPr>
              <w:t>S/D 농도 (Nsd)</w:t>
            </w:r>
          </w:p>
        </w:tc>
        <w:tc>
          <w:tcPr>
            <w:tcW w:w="3600" w:type="dxa"/>
          </w:tcPr>
          <w:p>
            <w:pPr>
              <w:jc w:val="center"/>
            </w:pPr>
            <w:r>
              <w:rPr>
                <w:sz w:val="19"/>
              </w:rPr>
              <w:t>2 × 10²⁰ cm⁻³ (Boron)</w:t>
            </w:r>
          </w:p>
        </w:tc>
      </w:tr>
      <w:tr>
        <w:tc>
          <w:tcPr>
            <w:shd w:val="clear" w:color="auto" w:fill="F4F6FA"/>
            <w:tcW w:w="1260" w:type="dxa"/>
          </w:tcPr>
          <w:p>
            <w:r>
              <w:rPr>
                <w:sz w:val="19"/>
              </w:rPr>
            </w:r>
          </w:p>
        </w:tc>
        <w:tc>
          <w:tcPr>
            <w:shd w:val="clear" w:color="auto" w:fill="F4F6FA"/>
            <w:tcW w:w="4140" w:type="dxa"/>
          </w:tcPr>
          <w:p>
            <w:pPr>
              <w:jc w:val="center"/>
            </w:pPr>
            <w:r>
              <w:rPr>
                <w:sz w:val="19"/>
              </w:rPr>
              <w:t>채널 농도 (Nch)</w:t>
            </w:r>
          </w:p>
        </w:tc>
        <w:tc>
          <w:tcPr>
            <w:shd w:val="clear" w:color="auto" w:fill="F4F6FA"/>
            <w:tcW w:w="3600" w:type="dxa"/>
          </w:tcPr>
          <w:p>
            <w:pPr>
              <w:jc w:val="center"/>
            </w:pPr>
            <w:r>
              <w:rPr>
                <w:sz w:val="19"/>
              </w:rPr>
              <w:t>2 × 10¹⁸ cm⁻³</w:t>
            </w:r>
          </w:p>
        </w:tc>
      </w:tr>
      <w:tr>
        <w:tc>
          <w:tcPr>
            <w:tcW w:w="1260" w:type="dxa"/>
          </w:tcPr>
          <w:p>
            <w:r>
              <w:rPr>
                <w:sz w:val="19"/>
              </w:rPr>
              <w:t>전기</w:t>
            </w:r>
          </w:p>
        </w:tc>
        <w:tc>
          <w:tcPr>
            <w:tcW w:w="4140" w:type="dxa"/>
          </w:tcPr>
          <w:p>
            <w:pPr>
              <w:jc w:val="center"/>
            </w:pPr>
            <w:r>
              <w:rPr>
                <w:sz w:val="19"/>
              </w:rPr>
              <w:t>공급 전압 (Vdd)</w:t>
            </w:r>
          </w:p>
        </w:tc>
        <w:tc>
          <w:tcPr>
            <w:tcW w:w="3600" w:type="dxa"/>
          </w:tcPr>
          <w:p>
            <w:pPr>
              <w:jc w:val="center"/>
            </w:pPr>
            <w:r>
              <w:rPr>
                <w:sz w:val="19"/>
              </w:rPr>
              <w:t>0.8 V</w:t>
            </w:r>
          </w:p>
        </w:tc>
      </w:tr>
      <w:tr>
        <w:tc>
          <w:tcPr>
            <w:shd w:val="clear" w:color="auto" w:fill="F4F6FA"/>
            <w:tcW w:w="1260" w:type="dxa"/>
          </w:tcPr>
          <w:p>
            <w:r>
              <w:rPr>
                <w:sz w:val="19"/>
              </w:rPr>
            </w:r>
          </w:p>
        </w:tc>
        <w:tc>
          <w:tcPr>
            <w:shd w:val="clear" w:color="auto" w:fill="F4F6FA"/>
            <w:tcW w:w="4140" w:type="dxa"/>
          </w:tcPr>
          <w:p>
            <w:pPr>
              <w:jc w:val="center"/>
            </w:pPr>
            <w:r>
              <w:rPr>
                <w:sz w:val="19"/>
              </w:rPr>
              <w:t>게이트 워크펑션</w:t>
            </w:r>
          </w:p>
        </w:tc>
        <w:tc>
          <w:tcPr>
            <w:shd w:val="clear" w:color="auto" w:fill="F4F6FA"/>
            <w:tcW w:w="3600" w:type="dxa"/>
          </w:tcPr>
          <w:p>
            <w:pPr>
              <w:jc w:val="center"/>
            </w:pPr>
            <w:r>
              <w:rPr>
                <w:sz w:val="19"/>
              </w:rPr>
              <w:t>4.623 eV</w:t>
            </w:r>
          </w:p>
        </w:tc>
      </w:tr>
      <w:tr>
        <w:tc>
          <w:tcPr>
            <w:tcW w:w="1260" w:type="dxa"/>
          </w:tcPr>
          <w:p>
            <w:r>
              <w:rPr>
                <w:sz w:val="19"/>
              </w:rPr>
              <w:t>결정</w:t>
            </w:r>
          </w:p>
        </w:tc>
        <w:tc>
          <w:tcPr>
            <w:tcW w:w="4140" w:type="dxa"/>
          </w:tcPr>
          <w:p>
            <w:pPr>
              <w:jc w:val="center"/>
            </w:pPr>
            <w:r>
              <w:rPr>
                <w:sz w:val="19"/>
              </w:rPr>
              <w:t>채널 방향 / 기판 방위</w:t>
            </w:r>
          </w:p>
        </w:tc>
        <w:tc>
          <w:tcPr>
            <w:tcW w:w="3600" w:type="dxa"/>
          </w:tcPr>
          <w:p>
            <w:pPr>
              <w:jc w:val="center"/>
            </w:pPr>
            <w:r>
              <w:rPr>
                <w:sz w:val="19"/>
              </w:rPr>
              <w:t>⟨110⟩ / (100)</w:t>
            </w:r>
          </w:p>
        </w:tc>
      </w:tr>
    </w:tbl>
    <w:p/>
    <w:p>
      <w:pPr>
        <w:spacing w:after="120"/>
      </w:pPr>
      <w:r>
        <w:rPr>
          <w:b w:val="0"/>
          <w:i w:val="0"/>
          <w:sz w:val="21"/>
        </w:rPr>
        <w:t>변수로 설정한 Ge 조성과 FR을 제외한 위 조건은 25 격자점 전체에서 동일하게 유지했다.</w:t>
      </w:r>
    </w:p>
    <w:p>
      <w:pPr>
        <w:pStyle w:val="Heading2"/>
        <w:spacing w:before="240" w:after="120"/>
      </w:pPr>
      <w:r>
        <w:rPr>
          <w:color w:val="305496"/>
          <w:sz w:val="26"/>
        </w:rPr>
        <w:t>2.2  변수 선정</w:t>
      </w:r>
    </w:p>
    <w:p>
      <w:pPr>
        <w:spacing w:after="120"/>
      </w:pPr>
      <w:r>
        <w:rPr>
          <w:b w:val="0"/>
          <w:i w:val="0"/>
          <w:sz w:val="21"/>
        </w:rPr>
        <w:t xml:space="preserve">응력의 </w:t>
      </w:r>
      <w:r>
        <w:rPr>
          <w:b/>
          <w:i w:val="0"/>
          <w:sz w:val="21"/>
        </w:rPr>
        <w:t>투입량</w:t>
      </w:r>
      <w:r>
        <w:rPr>
          <w:b w:val="0"/>
          <w:i w:val="0"/>
          <w:sz w:val="21"/>
        </w:rPr>
        <w:t xml:space="preserve">을 결정하는 재료 변수와 </w:t>
      </w:r>
      <w:r>
        <w:rPr>
          <w:b/>
          <w:i w:val="0"/>
          <w:sz w:val="21"/>
        </w:rPr>
        <w:t>전달 경로</w:t>
      </w:r>
      <w:r>
        <w:rPr>
          <w:b w:val="0"/>
          <w:i w:val="0"/>
          <w:sz w:val="21"/>
        </w:rPr>
        <w:t>를 결정하는 형상 변수를 각각 하나씩 선정하여, 두 기여를 분리해 관찰할 수 있도록 했다.</w:t>
      </w:r>
    </w:p>
    <w:p>
      <w:pPr>
        <w:pStyle w:val="Heading3"/>
        <w:spacing w:before="200" w:after="80"/>
      </w:pPr>
      <w:r>
        <w:rPr>
          <w:color w:val="305496"/>
          <w:sz w:val="23"/>
        </w:rPr>
        <w:t>Ge 조성 — 명목 응력을 결정하는 재료 변수</w:t>
      </w:r>
    </w:p>
    <w:p>
      <w:pPr>
        <w:spacing w:after="120"/>
      </w:pPr>
      <w:r>
        <w:rPr>
          <w:b w:val="0"/>
          <w:i w:val="0"/>
          <w:sz w:val="21"/>
        </w:rPr>
        <w:t xml:space="preserve">SiGe의 자연 격자상수는 Ge 함량에 비례해 커지며, 정합 성장 시 저장되는 압축 변형의 크기도 이에 선형 비례한다. 따라서 Ge 조성은 채널에 공급 가능한 응력의 상한, 즉 명목 응력을 직접 결정한다. 반면 소자의 기하학적 구조는 전혀 바꾸지 않으므로, 이 변수만 변화시키면 </w:t>
      </w:r>
      <w:r>
        <w:rPr>
          <w:b/>
          <w:i w:val="0"/>
          <w:sz w:val="21"/>
        </w:rPr>
        <w:t>형상 효과가 배제된 순수 재료 효과</w:t>
      </w:r>
      <w:r>
        <w:rPr>
          <w:b w:val="0"/>
          <w:i w:val="0"/>
          <w:sz w:val="21"/>
        </w:rPr>
        <w:t>를 관찰할 수 있다.</w:t>
      </w:r>
    </w:p>
    <w:p>
      <w:pPr>
        <w:spacing w:after="120"/>
      </w:pPr>
      <w:r>
        <w:rPr>
          <w:b/>
          <w:i w:val="0"/>
          <w:sz w:val="21"/>
        </w:rPr>
        <w:t xml:space="preserve">스윕 범위 30 ~ 70%: </w:t>
      </w:r>
      <w:r>
        <w:rPr>
          <w:b w:val="0"/>
          <w:i w:val="0"/>
          <w:sz w:val="21"/>
        </w:rPr>
        <w:t>명목 응력 기준 약 2.3배 범위를 포괄한다. 하한 30%는 응력 효과가 유의하게 나타나는 수준, 상한 70%는 SiGe 에피 성장의 실용적 조성 한계를 고려해 설정했다.</w:t>
      </w:r>
    </w:p>
    <w:p>
      <w:pPr>
        <w:pStyle w:val="Heading3"/>
        <w:spacing w:before="200" w:after="80"/>
      </w:pPr>
      <w:r>
        <w:rPr>
          <w:color w:val="305496"/>
          <w:sz w:val="23"/>
        </w:rPr>
        <w:t>FR (리세스 깊이) — 응력 전달 경로를 결정하는 형상 변수</w:t>
      </w:r>
    </w:p>
    <w:p>
      <w:pPr>
        <w:spacing w:after="120"/>
      </w:pPr>
      <w:r>
        <w:rPr>
          <w:b w:val="0"/>
          <w:i w:val="0"/>
          <w:sz w:val="21"/>
        </w:rPr>
        <w:t xml:space="preserve">리세스 식각 깊이는 S/D에 채워지는 SiGe의 부피와, 응력원이 채널을 감싸는 면적을 결정한다. 리세스가 깊을수록 SiGe가 채널 측면을 따라 더 넓은 면적에서 접하게 되어 응력 전달 경로가 확대된다. 동시에 리세스 식각은 채널 하부 구조에도 영향을 주므로, </w:t>
      </w:r>
      <w:r>
        <w:rPr>
          <w:b/>
          <w:i w:val="0"/>
          <w:sz w:val="21"/>
        </w:rPr>
        <w:t>전달 효율과 정전제어가 동시에 변화하는 변수</w:t>
      </w:r>
      <w:r>
        <w:rPr>
          <w:b w:val="0"/>
          <w:i w:val="0"/>
          <w:sz w:val="21"/>
        </w:rPr>
        <w:t>이기도 하다.</w:t>
      </w:r>
    </w:p>
    <w:p>
      <w:pPr>
        <w:spacing w:after="120"/>
      </w:pPr>
      <w:r>
        <w:rPr>
          <w:b/>
          <w:i w:val="0"/>
          <w:sz w:val="21"/>
        </w:rPr>
        <w:t xml:space="preserve">스윕 범위 0 ~ 35 nm: </w:t>
      </w:r>
      <w:r>
        <w:rPr>
          <w:b w:val="0"/>
          <w:i w:val="0"/>
          <w:sz w:val="21"/>
        </w:rPr>
        <w:t>0 nm는 리세스를 형성하지 않은 기준 조건이며, 35 nm는 fin 전체 높이와 같아 그 이상 식각이 불가능한 물리적 상한이다. 따라서 이 범위는 FR이라는 변수가 취할 수 있는 전 구간을 포괄한다.</w:t>
      </w:r>
    </w:p>
    <w:p>
      <w:pPr>
        <w:pStyle w:val="Heading3"/>
        <w:spacing w:before="200" w:after="80"/>
      </w:pPr>
      <w:r>
        <w:rPr>
          <w:color w:val="305496"/>
          <w:sz w:val="23"/>
        </w:rPr>
        <w:t>격자 해상도</w:t>
      </w:r>
    </w:p>
    <w:p>
      <w:pPr>
        <w:spacing w:after="120"/>
      </w:pPr>
      <w:r>
        <w:rPr>
          <w:b w:val="0"/>
          <w:i w:val="0"/>
          <w:sz w:val="21"/>
        </w:rPr>
        <w:t>두 변수를 각각 5수준으로 설정해 5 × 5 = 25 격자점을 구성했다. 2차원 반응면에서 곡률(포화·변곡)을 판별하려면 축당 최소 4~5수준이 필요하며, 3수준으로는 선형과 비선형을 구분할 수 없다. 본 연구의 핵심 결과인 전달 효율의 포화 지점 판별에는 이 해상도가 필수적이다.</w:t>
      </w:r>
    </w:p>
    <w:p>
      <w:pPr>
        <w:pStyle w:val="Heading2"/>
        <w:spacing w:before="240" w:after="120"/>
      </w:pPr>
      <w:r>
        <w:rPr>
          <w:color w:val="305496"/>
          <w:sz w:val="26"/>
        </w:rPr>
        <w:t>2.3  평가 지표</w:t>
      </w:r>
    </w:p>
    <w:p>
      <w:pPr>
        <w:spacing w:after="120"/>
      </w:pPr>
      <w:r>
        <w:rPr>
          <w:b w:val="0"/>
          <w:i w:val="0"/>
          <w:sz w:val="21"/>
        </w:rPr>
        <w:t>응력의 전기적 효과를 평가하기 위해 다음 지표를 사용했다. 서로 다른 물리 현상을 측정하는 지표들을 분리해 보고한다.</w:t>
      </w:r>
    </w:p>
    <w:tbl>
      <w:tblPr>
        <w:tblStyle w:val="TableGrid"/>
        <w:tblW w:type="auto" w:w="0"/>
        <w:jc w:val="center"/>
        <w:tblLayout w:type="fixed"/>
        <w:tblLook w:firstColumn="1" w:firstRow="1" w:lastColumn="0" w:lastRow="0" w:noHBand="0" w:noVBand="1" w:val="04A0"/>
      </w:tblPr>
      <w:tblGrid>
        <w:gridCol w:w="1980"/>
        <w:gridCol w:w="1440"/>
        <w:gridCol w:w="5580"/>
      </w:tblGrid>
      <w:tr>
        <w:tc>
          <w:tcPr>
            <w:shd w:val="clear" w:color="auto" w:fill="305496"/>
            <w:tcW w:w="1980" w:type="dxa"/>
          </w:tcPr>
          <w:p>
            <w:pPr>
              <w:jc w:val="center"/>
            </w:pPr>
            <w:r>
              <w:rPr>
                <w:b/>
                <w:color w:val="FFFFFF"/>
                <w:sz w:val="19"/>
              </w:rPr>
              <w:t>측정 대상</w:t>
            </w:r>
          </w:p>
        </w:tc>
        <w:tc>
          <w:tcPr>
            <w:shd w:val="clear" w:color="auto" w:fill="305496"/>
            <w:tcW w:w="1440" w:type="dxa"/>
          </w:tcPr>
          <w:p>
            <w:pPr>
              <w:jc w:val="center"/>
            </w:pPr>
            <w:r>
              <w:rPr>
                <w:b/>
                <w:color w:val="FFFFFF"/>
                <w:sz w:val="19"/>
              </w:rPr>
              <w:t>지표</w:t>
            </w:r>
          </w:p>
        </w:tc>
        <w:tc>
          <w:tcPr>
            <w:shd w:val="clear" w:color="auto" w:fill="305496"/>
            <w:tcW w:w="5580" w:type="dxa"/>
          </w:tcPr>
          <w:p>
            <w:pPr>
              <w:jc w:val="center"/>
            </w:pPr>
            <w:r>
              <w:rPr>
                <w:b/>
                <w:color w:val="FFFFFF"/>
                <w:sz w:val="19"/>
              </w:rPr>
              <w:t>정의</w:t>
            </w:r>
          </w:p>
        </w:tc>
      </w:tr>
      <w:tr>
        <w:tc>
          <w:tcPr>
            <w:tcW w:w="1980" w:type="dxa"/>
          </w:tcPr>
          <w:p>
            <w:r>
              <w:rPr>
                <w:sz w:val="19"/>
              </w:rPr>
              <w:t>채널 응력</w:t>
            </w:r>
          </w:p>
        </w:tc>
        <w:tc>
          <w:tcPr>
            <w:tcW w:w="1440" w:type="dxa"/>
          </w:tcPr>
          <w:p>
            <w:pPr>
              <w:jc w:val="center"/>
            </w:pPr>
            <w:r>
              <w:rPr>
                <w:sz w:val="19"/>
              </w:rPr>
              <w:t>SlFin</w:t>
            </w:r>
          </w:p>
        </w:tc>
        <w:tc>
          <w:tcPr>
            <w:tcW w:w="5580" w:type="dxa"/>
          </w:tcPr>
          <w:p>
            <w:pPr>
              <w:jc w:val="center"/>
            </w:pPr>
            <w:r>
              <w:rPr>
                <w:sz w:val="19"/>
              </w:rPr>
              <w:t>채널 영역(ChFin) 체적평균 응력, 채널 길이 방향 성분</w:t>
            </w:r>
          </w:p>
        </w:tc>
      </w:tr>
      <w:tr>
        <w:tc>
          <w:tcPr>
            <w:shd w:val="clear" w:color="auto" w:fill="F4F6FA"/>
            <w:tcW w:w="1980" w:type="dxa"/>
          </w:tcPr>
          <w:p>
            <w:r>
              <w:rPr>
                <w:sz w:val="19"/>
              </w:rPr>
              <w:t>이동도 변화</w:t>
            </w:r>
          </w:p>
        </w:tc>
        <w:tc>
          <w:tcPr>
            <w:shd w:val="clear" w:color="auto" w:fill="F4F6FA"/>
            <w:tcW w:w="1440" w:type="dxa"/>
          </w:tcPr>
          <w:p>
            <w:pPr>
              <w:jc w:val="center"/>
            </w:pPr>
            <w:r>
              <w:rPr>
                <w:sz w:val="19"/>
              </w:rPr>
              <w:t>gmSat</w:t>
            </w:r>
          </w:p>
        </w:tc>
        <w:tc>
          <w:tcPr>
            <w:shd w:val="clear" w:color="auto" w:fill="F4F6FA"/>
            <w:tcW w:w="5580" w:type="dxa"/>
          </w:tcPr>
          <w:p>
            <w:pPr>
              <w:jc w:val="center"/>
            </w:pPr>
            <w:r>
              <w:rPr>
                <w:sz w:val="19"/>
              </w:rPr>
              <w:t>포화 트랜스컨덕턴스 (문턱전압 이동에 둔감)</w:t>
            </w:r>
          </w:p>
        </w:tc>
      </w:tr>
      <w:tr>
        <w:tc>
          <w:tcPr>
            <w:tcW w:w="1980" w:type="dxa"/>
          </w:tcPr>
          <w:p>
            <w:r>
              <w:rPr>
                <w:sz w:val="19"/>
              </w:rPr>
              <w:t>구동 성능</w:t>
            </w:r>
          </w:p>
        </w:tc>
        <w:tc>
          <w:tcPr>
            <w:tcW w:w="1440" w:type="dxa"/>
          </w:tcPr>
          <w:p>
            <w:pPr>
              <w:jc w:val="center"/>
            </w:pPr>
            <w:r>
              <w:rPr>
                <w:sz w:val="19"/>
              </w:rPr>
              <w:t>IdSat_norm</w:t>
            </w:r>
          </w:p>
        </w:tc>
        <w:tc>
          <w:tcPr>
            <w:tcW w:w="5580" w:type="dxa"/>
          </w:tcPr>
          <w:p>
            <w:pPr>
              <w:jc w:val="center"/>
            </w:pPr>
            <w:r>
              <w:rPr>
                <w:sz w:val="19"/>
              </w:rPr>
              <w:t>정규화 포화 구동전류</w:t>
            </w:r>
          </w:p>
        </w:tc>
      </w:tr>
      <w:tr>
        <w:tc>
          <w:tcPr>
            <w:shd w:val="clear" w:color="auto" w:fill="F4F6FA"/>
            <w:tcW w:w="1980" w:type="dxa"/>
          </w:tcPr>
          <w:p>
            <w:r>
              <w:rPr>
                <w:sz w:val="19"/>
              </w:rPr>
              <w:t>게이트 정전제어</w:t>
            </w:r>
          </w:p>
        </w:tc>
        <w:tc>
          <w:tcPr>
            <w:shd w:val="clear" w:color="auto" w:fill="F4F6FA"/>
            <w:tcW w:w="1440" w:type="dxa"/>
          </w:tcPr>
          <w:p>
            <w:pPr>
              <w:jc w:val="center"/>
            </w:pPr>
            <w:r>
              <w:rPr>
                <w:sz w:val="19"/>
              </w:rPr>
              <w:t>SSlin</w:t>
            </w:r>
          </w:p>
        </w:tc>
        <w:tc>
          <w:tcPr>
            <w:shd w:val="clear" w:color="auto" w:fill="F4F6FA"/>
            <w:tcW w:w="5580" w:type="dxa"/>
          </w:tcPr>
          <w:p>
            <w:pPr>
              <w:jc w:val="center"/>
            </w:pPr>
            <w:r>
              <w:rPr>
                <w:sz w:val="19"/>
              </w:rPr>
              <w:t>저 Vd 조건의 Subthreshold Swing</w:t>
            </w:r>
          </w:p>
        </w:tc>
      </w:tr>
      <w:tr>
        <w:tc>
          <w:tcPr>
            <w:tcW w:w="1980" w:type="dxa"/>
          </w:tcPr>
          <w:p>
            <w:r>
              <w:rPr>
                <w:sz w:val="19"/>
              </w:rPr>
              <w:t>누설</w:t>
            </w:r>
          </w:p>
        </w:tc>
        <w:tc>
          <w:tcPr>
            <w:tcW w:w="1440" w:type="dxa"/>
          </w:tcPr>
          <w:p>
            <w:pPr>
              <w:jc w:val="center"/>
            </w:pPr>
            <w:r>
              <w:rPr>
                <w:sz w:val="19"/>
              </w:rPr>
              <w:t>Ioff_norm</w:t>
            </w:r>
          </w:p>
        </w:tc>
        <w:tc>
          <w:tcPr>
            <w:tcW w:w="5580" w:type="dxa"/>
          </w:tcPr>
          <w:p>
            <w:pPr>
              <w:jc w:val="center"/>
            </w:pPr>
            <w:r>
              <w:rPr>
                <w:sz w:val="19"/>
              </w:rPr>
              <w:t>정규화 오프 상태 전류</w:t>
            </w:r>
          </w:p>
        </w:tc>
      </w:tr>
      <w:tr>
        <w:tc>
          <w:tcPr>
            <w:shd w:val="clear" w:color="auto" w:fill="F4F6FA"/>
            <w:tcW w:w="1980" w:type="dxa"/>
          </w:tcPr>
          <w:p>
            <w:r>
              <w:rPr>
                <w:sz w:val="19"/>
              </w:rPr>
              <w:t>숏채널 효과</w:t>
            </w:r>
          </w:p>
        </w:tc>
        <w:tc>
          <w:tcPr>
            <w:shd w:val="clear" w:color="auto" w:fill="F4F6FA"/>
            <w:tcW w:w="1440" w:type="dxa"/>
          </w:tcPr>
          <w:p>
            <w:pPr>
              <w:jc w:val="center"/>
            </w:pPr>
            <w:r>
              <w:rPr>
                <w:sz w:val="19"/>
              </w:rPr>
              <w:t>DIBL</w:t>
            </w:r>
          </w:p>
        </w:tc>
        <w:tc>
          <w:tcPr>
            <w:shd w:val="clear" w:color="auto" w:fill="F4F6FA"/>
            <w:tcW w:w="5580" w:type="dxa"/>
          </w:tcPr>
          <w:p>
            <w:pPr>
              <w:jc w:val="center"/>
            </w:pPr>
            <w:r>
              <w:rPr>
                <w:sz w:val="19"/>
              </w:rPr>
              <w:t>( |VtiLin| − |VtiSat| ) / ΔVd</w:t>
            </w:r>
          </w:p>
        </w:tc>
      </w:tr>
    </w:tbl>
    <w:p/>
    <w:p>
      <w:pPr>
        <w:spacing w:after="120"/>
      </w:pPr>
      <w:r>
        <w:rPr>
          <w:b/>
          <w:i w:val="0"/>
          <w:sz w:val="21"/>
        </w:rPr>
        <w:t xml:space="preserve">정전제어 지표로 SSlin을 사용하는 이유. </w:t>
      </w:r>
      <w:r>
        <w:rPr>
          <w:b w:val="0"/>
          <w:i w:val="0"/>
          <w:sz w:val="21"/>
        </w:rPr>
        <w:t>SS의 이상적 하한 60 mV/dec는 드레인이 채널 장벽에 영향을 주지 않는다는 가정에서 유도되므로, 이 기준과 비교 가능한 것은 저 Vd 조건의 SSlin이다. 포화 영역 SS(SSSat)는 게이트 제어 기울기와 드레인 접합 누설을 함께 측정하며, 실제로 형상이 동일한 조건(FR = 0)에서도 Ge 조성에 따라 105 → 316 mV/dec로 변동한다. 따라서 정전제어는 SSlin, 누설은 Ioff, 드레인의 장벽 영향은 DIBL로 각각 분리해 평가한다.</w:t>
      </w:r>
    </w:p>
    <w:p>
      <w:pPr>
        <w:spacing w:after="120"/>
      </w:pPr>
      <w:r>
        <w:rPr>
          <w:b/>
          <w:i w:val="0"/>
          <w:sz w:val="21"/>
        </w:rPr>
        <w:t xml:space="preserve">채널 응력을 체적평균으로 산출하는 이유. </w:t>
      </w:r>
      <w:r>
        <w:rPr>
          <w:b w:val="0"/>
          <w:i w:val="0"/>
          <w:sz w:val="21"/>
        </w:rPr>
        <w:t>계면 단일점 방식과 비교한 결과, 체적평균은 다섯 Ge 조건 모두에서 이동도(gmSat)와 +0.95 이상의 상관을 보인 반면, 계면 단일점은 평균 −0.207의 음의 상관을 보여 물리적 정합성이 성립하지 않았다. STE는 응력이 실제 성능으로 이어지는 효율을 측정하는 지표이므로 체적평균을 채택했다.</w:t>
      </w:r>
    </w:p>
    <w:p>
      <w:pPr>
        <w:pStyle w:val="Heading2"/>
        <w:spacing w:before="240" w:after="120"/>
      </w:pPr>
      <w:r>
        <w:rPr>
          <w:color w:val="305496"/>
          <w:sz w:val="26"/>
        </w:rPr>
        <w:t>2.4  사전 검증</w:t>
      </w:r>
    </w:p>
    <w:p>
      <w:pPr>
        <w:spacing w:after="120"/>
      </w:pPr>
      <w:r>
        <w:rPr>
          <w:b w:val="0"/>
          <w:i w:val="0"/>
          <w:sz w:val="21"/>
        </w:rPr>
        <w:t>스윕 착수 전, 결과의 유효성을 좌우하는 전제 조건을 확인했다.</w:t>
      </w:r>
    </w:p>
    <w:tbl>
      <w:tblPr>
        <w:tblStyle w:val="TableGrid"/>
        <w:tblW w:type="auto" w:w="0"/>
        <w:jc w:val="center"/>
        <w:tblLayout w:type="fixed"/>
        <w:tblLook w:firstColumn="1" w:firstRow="1" w:lastColumn="0" w:lastRow="0" w:noHBand="0" w:noVBand="1" w:val="04A0"/>
      </w:tblPr>
      <w:tblGrid>
        <w:gridCol w:w="2340"/>
        <w:gridCol w:w="3600"/>
        <w:gridCol w:w="3060"/>
      </w:tblGrid>
      <w:tr>
        <w:tc>
          <w:tcPr>
            <w:shd w:val="clear" w:color="auto" w:fill="305496"/>
            <w:tcW w:w="2340" w:type="dxa"/>
          </w:tcPr>
          <w:p>
            <w:pPr>
              <w:jc w:val="center"/>
            </w:pPr>
            <w:r>
              <w:rPr>
                <w:b/>
                <w:color w:val="FFFFFF"/>
                <w:sz w:val="19"/>
              </w:rPr>
              <w:t>검증 항목</w:t>
            </w:r>
          </w:p>
        </w:tc>
        <w:tc>
          <w:tcPr>
            <w:shd w:val="clear" w:color="auto" w:fill="305496"/>
            <w:tcW w:w="3600" w:type="dxa"/>
          </w:tcPr>
          <w:p>
            <w:pPr>
              <w:jc w:val="center"/>
            </w:pPr>
            <w:r>
              <w:rPr>
                <w:b/>
                <w:color w:val="FFFFFF"/>
                <w:sz w:val="19"/>
              </w:rPr>
              <w:t>방법</w:t>
            </w:r>
          </w:p>
        </w:tc>
        <w:tc>
          <w:tcPr>
            <w:shd w:val="clear" w:color="auto" w:fill="305496"/>
            <w:tcW w:w="3060" w:type="dxa"/>
          </w:tcPr>
          <w:p>
            <w:pPr>
              <w:jc w:val="center"/>
            </w:pPr>
            <w:r>
              <w:rPr>
                <w:b/>
                <w:color w:val="FFFFFF"/>
                <w:sz w:val="19"/>
              </w:rPr>
              <w:t>결과</w:t>
            </w:r>
          </w:p>
        </w:tc>
      </w:tr>
      <w:tr>
        <w:tc>
          <w:tcPr>
            <w:tcW w:w="2340" w:type="dxa"/>
          </w:tcPr>
          <w:p>
            <w:r>
              <w:rPr>
                <w:sz w:val="19"/>
              </w:rPr>
              <w:t>응력–이동도 결합의 작동 여부</w:t>
            </w:r>
          </w:p>
        </w:tc>
        <w:tc>
          <w:tcPr>
            <w:tcW w:w="3600" w:type="dxa"/>
          </w:tcPr>
          <w:p>
            <w:pPr>
              <w:jc w:val="center"/>
            </w:pPr>
            <w:r>
              <w:rPr>
                <w:sz w:val="19"/>
              </w:rPr>
              <w:t>Strain_Impact 매크로 1/0 비교</w:t>
            </w:r>
          </w:p>
        </w:tc>
        <w:tc>
          <w:tcPr>
            <w:tcW w:w="3060" w:type="dxa"/>
          </w:tcPr>
          <w:p>
            <w:pPr>
              <w:jc w:val="center"/>
            </w:pPr>
            <w:r>
              <w:rPr>
                <w:sz w:val="19"/>
              </w:rPr>
              <w:t>IdSat_norm +227% 차이 — 결합 정상</w:t>
            </w:r>
          </w:p>
        </w:tc>
      </w:tr>
      <w:tr>
        <w:tc>
          <w:tcPr>
            <w:shd w:val="clear" w:color="auto" w:fill="F4F6FA"/>
            <w:tcW w:w="2340" w:type="dxa"/>
          </w:tcPr>
          <w:p>
            <w:r>
              <w:rPr>
                <w:sz w:val="19"/>
              </w:rPr>
              <w:t>FR 변수의 구조 반영 여부</w:t>
            </w:r>
          </w:p>
        </w:tc>
        <w:tc>
          <w:tcPr>
            <w:shd w:val="clear" w:color="auto" w:fill="F4F6FA"/>
            <w:tcW w:w="3600" w:type="dxa"/>
          </w:tcPr>
          <w:p>
            <w:pPr>
              <w:jc w:val="center"/>
            </w:pPr>
            <w:r>
              <w:rPr>
                <w:sz w:val="19"/>
              </w:rPr>
              <w:t>FR = 15 nm 실행 후 좌표축 단면 비교</w:t>
            </w:r>
          </w:p>
        </w:tc>
        <w:tc>
          <w:tcPr>
            <w:shd w:val="clear" w:color="auto" w:fill="F4F6FA"/>
            <w:tcW w:w="3060" w:type="dxa"/>
          </w:tcPr>
          <w:p>
            <w:pPr>
              <w:jc w:val="center"/>
            </w:pPr>
            <w:r>
              <w:rPr>
                <w:sz w:val="19"/>
              </w:rPr>
              <w:t>의도한 15 nm 추가 식각 확인</w:t>
            </w:r>
          </w:p>
        </w:tc>
      </w:tr>
      <w:tr>
        <w:tc>
          <w:tcPr>
            <w:tcW w:w="2340" w:type="dxa"/>
          </w:tcPr>
          <w:p>
            <w:r>
              <w:rPr>
                <w:sz w:val="19"/>
              </w:rPr>
              <w:t>구조·재질·도핑 정합성</w:t>
            </w:r>
          </w:p>
        </w:tc>
        <w:tc>
          <w:tcPr>
            <w:tcW w:w="3600" w:type="dxa"/>
          </w:tcPr>
          <w:p>
            <w:pPr>
              <w:jc w:val="center"/>
            </w:pPr>
            <w:r>
              <w:rPr>
                <w:sz w:val="19"/>
              </w:rPr>
              <w:t>SiGe {111} facet, 채널 n형, S/D 균일 고농도 도핑 확인</w:t>
            </w:r>
          </w:p>
        </w:tc>
        <w:tc>
          <w:tcPr>
            <w:tcW w:w="3060" w:type="dxa"/>
          </w:tcPr>
          <w:p>
            <w:pPr>
              <w:jc w:val="center"/>
            </w:pPr>
            <w:r>
              <w:rPr>
                <w:sz w:val="19"/>
              </w:rPr>
              <w:t>정상</w:t>
            </w:r>
          </w:p>
        </w:tc>
      </w:tr>
      <w:tr>
        <w:tc>
          <w:tcPr>
            <w:shd w:val="clear" w:color="auto" w:fill="F4F6FA"/>
            <w:tcW w:w="2340" w:type="dxa"/>
          </w:tcPr>
          <w:p>
            <w:r>
              <w:rPr>
                <w:sz w:val="19"/>
              </w:rPr>
              <w:t>결과의 재현성</w:t>
            </w:r>
          </w:p>
        </w:tc>
        <w:tc>
          <w:tcPr>
            <w:shd w:val="clear" w:color="auto" w:fill="F4F6FA"/>
            <w:tcW w:w="3600" w:type="dxa"/>
          </w:tcPr>
          <w:p>
            <w:pPr>
              <w:jc w:val="center"/>
            </w:pPr>
            <w:r>
              <w:rPr>
                <w:sz w:val="19"/>
              </w:rPr>
              <w:t>동일 조건 격자점 4쌍 독립 재실행 후 대조</w:t>
            </w:r>
          </w:p>
        </w:tc>
        <w:tc>
          <w:tcPr>
            <w:shd w:val="clear" w:color="auto" w:fill="F4F6FA"/>
            <w:tcW w:w="3060" w:type="dxa"/>
          </w:tcPr>
          <w:p>
            <w:pPr>
              <w:jc w:val="center"/>
            </w:pPr>
            <w:r>
              <w:rPr>
                <w:sz w:val="19"/>
              </w:rPr>
              <w:t>편차 0.0%</w:t>
            </w:r>
          </w:p>
        </w:tc>
      </w:tr>
    </w:tbl>
    <w:p/>
    <w:p>
      <w:pPr>
        <w:spacing w:after="120"/>
      </w:pPr>
      <w:r>
        <w:rPr>
          <w:b w:val="0"/>
          <w:i w:val="0"/>
          <w:sz w:val="21"/>
        </w:rPr>
        <w:t>첫 항목은 특히 중요하다. 응력–이동도 결합이 비활성 상태였다면 응력을 정확히 계산하더라도 전기 특성에 반영되지 않아, 전체 스윕 결과가 무의미해진다.</w:t>
      </w:r>
    </w:p>
    <w:p/>
    <w:p>
      <w:pPr>
        <w:pStyle w:val="Heading1"/>
        <w:spacing w:before="280" w:after="160"/>
      </w:pPr>
      <w:r>
        <w:rPr>
          <w:color w:val="1F3864"/>
          <w:sz w:val="32"/>
        </w:rPr>
        <w:t>III. 결과</w:t>
      </w:r>
    </w:p>
    <w:p>
      <w:pPr>
        <w:pStyle w:val="Heading2"/>
        <w:spacing w:before="240" w:after="120"/>
      </w:pPr>
      <w:r>
        <w:rPr>
          <w:color w:val="305496"/>
          <w:sz w:val="26"/>
        </w:rPr>
        <w:t>3.1  Ge 조성의 역할 — 응력의 양을 결정한다</w:t>
      </w:r>
    </w:p>
    <w:p>
      <w:pPr>
        <w:spacing w:after="120"/>
      </w:pPr>
      <w:r>
        <w:rPr>
          <w:b w:val="0"/>
          <w:i w:val="0"/>
          <w:sz w:val="21"/>
        </w:rPr>
        <w:t>형상이 완전히 동일한 조건(FR = 0)에서 Ge 조성만 변화시킨 결과다. 형상 효과가 배제되어 있으므로 순수 재료 효과를 나타낸다.</w:t>
      </w:r>
    </w:p>
    <w:tbl>
      <w:tblPr>
        <w:tblStyle w:val="TableGrid"/>
        <w:tblW w:type="auto" w:w="0"/>
        <w:jc w:val="center"/>
        <w:tblLayout w:type="fixed"/>
        <w:tblLook w:firstColumn="1" w:firstRow="1" w:lastColumn="0" w:lastRow="0" w:noHBand="0" w:noVBand="1" w:val="04A0"/>
      </w:tblPr>
      <w:tblGrid>
        <w:gridCol w:w="1080"/>
        <w:gridCol w:w="1350"/>
        <w:gridCol w:w="1440"/>
        <w:gridCol w:w="1350"/>
        <w:gridCol w:w="1350"/>
        <w:gridCol w:w="1170"/>
        <w:gridCol w:w="1260"/>
      </w:tblGrid>
      <w:tr>
        <w:tc>
          <w:tcPr>
            <w:shd w:val="clear" w:color="auto" w:fill="305496"/>
            <w:tcW w:w="1080" w:type="dxa"/>
          </w:tcPr>
          <w:p>
            <w:pPr>
              <w:jc w:val="center"/>
            </w:pPr>
            <w:r>
              <w:rPr>
                <w:b/>
                <w:color w:val="FFFFFF"/>
                <w:sz w:val="19"/>
              </w:rPr>
              <w:t>Ge 조성</w:t>
            </w:r>
          </w:p>
        </w:tc>
        <w:tc>
          <w:tcPr>
            <w:shd w:val="clear" w:color="auto" w:fill="305496"/>
            <w:tcW w:w="1350" w:type="dxa"/>
          </w:tcPr>
          <w:p>
            <w:pPr>
              <w:jc w:val="center"/>
            </w:pPr>
            <w:r>
              <w:rPr>
                <w:b/>
                <w:color w:val="FFFFFF"/>
                <w:sz w:val="19"/>
              </w:rPr>
              <w:t>응력 [GPa]</w:t>
            </w:r>
          </w:p>
        </w:tc>
        <w:tc>
          <w:tcPr>
            <w:shd w:val="clear" w:color="auto" w:fill="305496"/>
            <w:tcW w:w="1440" w:type="dxa"/>
          </w:tcPr>
          <w:p>
            <w:pPr>
              <w:jc w:val="center"/>
            </w:pPr>
            <w:r>
              <w:rPr>
                <w:b/>
                <w:color w:val="FFFFFF"/>
                <w:sz w:val="19"/>
              </w:rPr>
              <w:t>gmSat [S/µm]</w:t>
            </w:r>
          </w:p>
        </w:tc>
        <w:tc>
          <w:tcPr>
            <w:shd w:val="clear" w:color="auto" w:fill="305496"/>
            <w:tcW w:w="1350" w:type="dxa"/>
          </w:tcPr>
          <w:p>
            <w:pPr>
              <w:jc w:val="center"/>
            </w:pPr>
            <w:r>
              <w:rPr>
                <w:b/>
                <w:color w:val="FFFFFF"/>
                <w:sz w:val="19"/>
              </w:rPr>
              <w:t>IdSat_norm</w:t>
            </w:r>
          </w:p>
        </w:tc>
        <w:tc>
          <w:tcPr>
            <w:shd w:val="clear" w:color="auto" w:fill="305496"/>
            <w:tcW w:w="1350" w:type="dxa"/>
          </w:tcPr>
          <w:p>
            <w:pPr>
              <w:jc w:val="center"/>
            </w:pPr>
            <w:r>
              <w:rPr>
                <w:b/>
                <w:color w:val="FFFFFF"/>
                <w:sz w:val="19"/>
              </w:rPr>
              <w:t>SSlin [mV/dec]</w:t>
            </w:r>
          </w:p>
        </w:tc>
        <w:tc>
          <w:tcPr>
            <w:shd w:val="clear" w:color="auto" w:fill="305496"/>
            <w:tcW w:w="1170" w:type="dxa"/>
          </w:tcPr>
          <w:p>
            <w:pPr>
              <w:jc w:val="center"/>
            </w:pPr>
            <w:r>
              <w:rPr>
                <w:b/>
                <w:color w:val="FFFFFF"/>
                <w:sz w:val="19"/>
              </w:rPr>
              <w:t>DIBL [mV/V]</w:t>
            </w:r>
          </w:p>
        </w:tc>
        <w:tc>
          <w:tcPr>
            <w:shd w:val="clear" w:color="auto" w:fill="305496"/>
            <w:tcW w:w="1260" w:type="dxa"/>
          </w:tcPr>
          <w:p>
            <w:pPr>
              <w:jc w:val="center"/>
            </w:pPr>
            <w:r>
              <w:rPr>
                <w:b/>
                <w:color w:val="FFFFFF"/>
                <w:sz w:val="19"/>
              </w:rPr>
              <w:t>Ioff_norm</w:t>
            </w:r>
          </w:p>
        </w:tc>
      </w:tr>
      <w:tr>
        <w:tc>
          <w:tcPr>
            <w:tcW w:w="1080" w:type="dxa"/>
          </w:tcPr>
          <w:p>
            <w:r>
              <w:rPr>
                <w:sz w:val="19"/>
              </w:rPr>
              <w:t>30%</w:t>
            </w:r>
          </w:p>
        </w:tc>
        <w:tc>
          <w:tcPr>
            <w:tcW w:w="1350" w:type="dxa"/>
          </w:tcPr>
          <w:p>
            <w:pPr>
              <w:jc w:val="center"/>
            </w:pPr>
            <w:r>
              <w:rPr>
                <w:sz w:val="19"/>
              </w:rPr>
              <w:t>−1.346</w:t>
            </w:r>
          </w:p>
        </w:tc>
        <w:tc>
          <w:tcPr>
            <w:tcW w:w="1440" w:type="dxa"/>
          </w:tcPr>
          <w:p>
            <w:pPr>
              <w:jc w:val="center"/>
            </w:pPr>
            <w:r>
              <w:rPr>
                <w:sz w:val="19"/>
              </w:rPr>
              <w:t>9.58e−5</w:t>
            </w:r>
          </w:p>
        </w:tc>
        <w:tc>
          <w:tcPr>
            <w:tcW w:w="1350" w:type="dxa"/>
          </w:tcPr>
          <w:p>
            <w:pPr>
              <w:jc w:val="center"/>
            </w:pPr>
            <w:r>
              <w:rPr>
                <w:sz w:val="19"/>
              </w:rPr>
              <w:t>4.72e−4</w:t>
            </w:r>
          </w:p>
        </w:tc>
        <w:tc>
          <w:tcPr>
            <w:tcW w:w="1350" w:type="dxa"/>
          </w:tcPr>
          <w:p>
            <w:pPr>
              <w:jc w:val="center"/>
            </w:pPr>
            <w:r>
              <w:rPr>
                <w:sz w:val="19"/>
              </w:rPr>
              <w:t>80.4</w:t>
            </w:r>
          </w:p>
        </w:tc>
        <w:tc>
          <w:tcPr>
            <w:tcW w:w="1170" w:type="dxa"/>
          </w:tcPr>
          <w:p>
            <w:pPr>
              <w:jc w:val="center"/>
            </w:pPr>
            <w:r>
              <w:rPr>
                <w:sz w:val="19"/>
              </w:rPr>
              <w:t>89.3</w:t>
            </w:r>
          </w:p>
        </w:tc>
        <w:tc>
          <w:tcPr>
            <w:tcW w:w="1260" w:type="dxa"/>
          </w:tcPr>
          <w:p>
            <w:pPr>
              <w:jc w:val="center"/>
            </w:pPr>
            <w:r>
              <w:rPr>
                <w:sz w:val="19"/>
              </w:rPr>
              <w:t>1.07e−10</w:t>
            </w:r>
          </w:p>
        </w:tc>
      </w:tr>
      <w:tr>
        <w:tc>
          <w:tcPr>
            <w:shd w:val="clear" w:color="auto" w:fill="F4F6FA"/>
            <w:tcW w:w="1080" w:type="dxa"/>
          </w:tcPr>
          <w:p>
            <w:r>
              <w:rPr>
                <w:sz w:val="19"/>
              </w:rPr>
              <w:t>40%</w:t>
            </w:r>
          </w:p>
        </w:tc>
        <w:tc>
          <w:tcPr>
            <w:shd w:val="clear" w:color="auto" w:fill="F4F6FA"/>
            <w:tcW w:w="1350" w:type="dxa"/>
          </w:tcPr>
          <w:p>
            <w:pPr>
              <w:jc w:val="center"/>
            </w:pPr>
            <w:r>
              <w:rPr>
                <w:sz w:val="19"/>
              </w:rPr>
              <w:t>−1.801</w:t>
            </w:r>
          </w:p>
        </w:tc>
        <w:tc>
          <w:tcPr>
            <w:shd w:val="clear" w:color="auto" w:fill="F4F6FA"/>
            <w:tcW w:w="1440" w:type="dxa"/>
          </w:tcPr>
          <w:p>
            <w:pPr>
              <w:jc w:val="center"/>
            </w:pPr>
            <w:r>
              <w:rPr>
                <w:sz w:val="19"/>
              </w:rPr>
              <w:t>1.02e−4</w:t>
            </w:r>
          </w:p>
        </w:tc>
        <w:tc>
          <w:tcPr>
            <w:shd w:val="clear" w:color="auto" w:fill="F4F6FA"/>
            <w:tcW w:w="1350" w:type="dxa"/>
          </w:tcPr>
          <w:p>
            <w:pPr>
              <w:jc w:val="center"/>
            </w:pPr>
            <w:r>
              <w:rPr>
                <w:sz w:val="19"/>
              </w:rPr>
              <w:t>5.14e−4</w:t>
            </w:r>
          </w:p>
        </w:tc>
        <w:tc>
          <w:tcPr>
            <w:shd w:val="clear" w:color="auto" w:fill="F4F6FA"/>
            <w:tcW w:w="1350" w:type="dxa"/>
          </w:tcPr>
          <w:p>
            <w:pPr>
              <w:jc w:val="center"/>
            </w:pPr>
            <w:r>
              <w:rPr>
                <w:sz w:val="19"/>
              </w:rPr>
              <w:t>79.4</w:t>
            </w:r>
          </w:p>
        </w:tc>
        <w:tc>
          <w:tcPr>
            <w:shd w:val="clear" w:color="auto" w:fill="F4F6FA"/>
            <w:tcW w:w="1170" w:type="dxa"/>
          </w:tcPr>
          <w:p>
            <w:pPr>
              <w:jc w:val="center"/>
            </w:pPr>
            <w:r>
              <w:rPr>
                <w:sz w:val="19"/>
              </w:rPr>
              <w:t>82.7</w:t>
            </w:r>
          </w:p>
        </w:tc>
        <w:tc>
          <w:tcPr>
            <w:shd w:val="clear" w:color="auto" w:fill="F4F6FA"/>
            <w:tcW w:w="1260" w:type="dxa"/>
          </w:tcPr>
          <w:p>
            <w:pPr>
              <w:jc w:val="center"/>
            </w:pPr>
            <w:r>
              <w:rPr>
                <w:sz w:val="19"/>
              </w:rPr>
              <w:t>1.30e−10</w:t>
            </w:r>
          </w:p>
        </w:tc>
      </w:tr>
      <w:tr>
        <w:tc>
          <w:tcPr>
            <w:tcW w:w="1080" w:type="dxa"/>
          </w:tcPr>
          <w:p>
            <w:r>
              <w:rPr>
                <w:sz w:val="19"/>
              </w:rPr>
              <w:t>50%</w:t>
            </w:r>
          </w:p>
        </w:tc>
        <w:tc>
          <w:tcPr>
            <w:tcW w:w="1350" w:type="dxa"/>
          </w:tcPr>
          <w:p>
            <w:pPr>
              <w:jc w:val="center"/>
            </w:pPr>
            <w:r>
              <w:rPr>
                <w:sz w:val="19"/>
              </w:rPr>
              <w:t>−2.262</w:t>
            </w:r>
          </w:p>
        </w:tc>
        <w:tc>
          <w:tcPr>
            <w:tcW w:w="1440" w:type="dxa"/>
          </w:tcPr>
          <w:p>
            <w:pPr>
              <w:jc w:val="center"/>
            </w:pPr>
            <w:r>
              <w:rPr>
                <w:sz w:val="19"/>
              </w:rPr>
              <w:t>1.06e−4</w:t>
            </w:r>
          </w:p>
        </w:tc>
        <w:tc>
          <w:tcPr>
            <w:tcW w:w="1350" w:type="dxa"/>
          </w:tcPr>
          <w:p>
            <w:pPr>
              <w:jc w:val="center"/>
            </w:pPr>
            <w:r>
              <w:rPr>
                <w:sz w:val="19"/>
              </w:rPr>
              <w:t>5.57e−4</w:t>
            </w:r>
          </w:p>
        </w:tc>
        <w:tc>
          <w:tcPr>
            <w:tcW w:w="1350" w:type="dxa"/>
          </w:tcPr>
          <w:p>
            <w:pPr>
              <w:jc w:val="center"/>
            </w:pPr>
            <w:r>
              <w:rPr>
                <w:sz w:val="19"/>
              </w:rPr>
              <w:t>78.5</w:t>
            </w:r>
          </w:p>
        </w:tc>
        <w:tc>
          <w:tcPr>
            <w:tcW w:w="1170" w:type="dxa"/>
          </w:tcPr>
          <w:p>
            <w:pPr>
              <w:jc w:val="center"/>
            </w:pPr>
            <w:r>
              <w:rPr>
                <w:sz w:val="19"/>
              </w:rPr>
              <w:t>78.7</w:t>
            </w:r>
          </w:p>
        </w:tc>
        <w:tc>
          <w:tcPr>
            <w:tcW w:w="1260" w:type="dxa"/>
          </w:tcPr>
          <w:p>
            <w:pPr>
              <w:jc w:val="center"/>
            </w:pPr>
            <w:r>
              <w:rPr>
                <w:sz w:val="19"/>
              </w:rPr>
              <w:t>2.41e−10</w:t>
            </w:r>
          </w:p>
        </w:tc>
      </w:tr>
      <w:tr>
        <w:tc>
          <w:tcPr>
            <w:shd w:val="clear" w:color="auto" w:fill="F4F6FA"/>
            <w:tcW w:w="1080" w:type="dxa"/>
          </w:tcPr>
          <w:p>
            <w:r>
              <w:rPr>
                <w:sz w:val="19"/>
              </w:rPr>
              <w:t>60%</w:t>
            </w:r>
          </w:p>
        </w:tc>
        <w:tc>
          <w:tcPr>
            <w:shd w:val="clear" w:color="auto" w:fill="F4F6FA"/>
            <w:tcW w:w="1350" w:type="dxa"/>
          </w:tcPr>
          <w:p>
            <w:pPr>
              <w:jc w:val="center"/>
            </w:pPr>
            <w:r>
              <w:rPr>
                <w:sz w:val="19"/>
              </w:rPr>
              <w:t>−2.730</w:t>
            </w:r>
          </w:p>
        </w:tc>
        <w:tc>
          <w:tcPr>
            <w:shd w:val="clear" w:color="auto" w:fill="F4F6FA"/>
            <w:tcW w:w="1440" w:type="dxa"/>
          </w:tcPr>
          <w:p>
            <w:pPr>
              <w:jc w:val="center"/>
            </w:pPr>
            <w:r>
              <w:rPr>
                <w:sz w:val="19"/>
              </w:rPr>
              <w:t>1.11e−4</w:t>
            </w:r>
          </w:p>
        </w:tc>
        <w:tc>
          <w:tcPr>
            <w:shd w:val="clear" w:color="auto" w:fill="F4F6FA"/>
            <w:tcW w:w="1350" w:type="dxa"/>
          </w:tcPr>
          <w:p>
            <w:pPr>
              <w:jc w:val="center"/>
            </w:pPr>
            <w:r>
              <w:rPr>
                <w:sz w:val="19"/>
              </w:rPr>
              <w:t>6.06e−4</w:t>
            </w:r>
          </w:p>
        </w:tc>
        <w:tc>
          <w:tcPr>
            <w:shd w:val="clear" w:color="auto" w:fill="F4F6FA"/>
            <w:tcW w:w="1350" w:type="dxa"/>
          </w:tcPr>
          <w:p>
            <w:pPr>
              <w:jc w:val="center"/>
            </w:pPr>
            <w:r>
              <w:rPr>
                <w:sz w:val="19"/>
              </w:rPr>
              <w:t>77.4</w:t>
            </w:r>
          </w:p>
        </w:tc>
        <w:tc>
          <w:tcPr>
            <w:shd w:val="clear" w:color="auto" w:fill="F4F6FA"/>
            <w:tcW w:w="1170" w:type="dxa"/>
          </w:tcPr>
          <w:p>
            <w:pPr>
              <w:jc w:val="center"/>
            </w:pPr>
            <w:r>
              <w:rPr>
                <w:sz w:val="19"/>
              </w:rPr>
              <w:t>74.7</w:t>
            </w:r>
          </w:p>
        </w:tc>
        <w:tc>
          <w:tcPr>
            <w:shd w:val="clear" w:color="auto" w:fill="F4F6FA"/>
            <w:tcW w:w="1260" w:type="dxa"/>
          </w:tcPr>
          <w:p>
            <w:pPr>
              <w:jc w:val="center"/>
            </w:pPr>
            <w:r>
              <w:rPr>
                <w:sz w:val="19"/>
              </w:rPr>
              <w:t>4.07e−10</w:t>
            </w:r>
          </w:p>
        </w:tc>
      </w:tr>
      <w:tr>
        <w:tc>
          <w:tcPr>
            <w:tcW w:w="1080" w:type="dxa"/>
          </w:tcPr>
          <w:p>
            <w:r>
              <w:rPr>
                <w:sz w:val="19"/>
              </w:rPr>
              <w:t>70%</w:t>
            </w:r>
          </w:p>
        </w:tc>
        <w:tc>
          <w:tcPr>
            <w:tcW w:w="1350" w:type="dxa"/>
          </w:tcPr>
          <w:p>
            <w:pPr>
              <w:jc w:val="center"/>
            </w:pPr>
            <w:r>
              <w:rPr>
                <w:sz w:val="19"/>
              </w:rPr>
              <w:t>−3.210</w:t>
            </w:r>
          </w:p>
        </w:tc>
        <w:tc>
          <w:tcPr>
            <w:tcW w:w="1440" w:type="dxa"/>
          </w:tcPr>
          <w:p>
            <w:pPr>
              <w:jc w:val="center"/>
            </w:pPr>
            <w:r>
              <w:rPr>
                <w:sz w:val="19"/>
              </w:rPr>
              <w:t>1.14e−4</w:t>
            </w:r>
          </w:p>
        </w:tc>
        <w:tc>
          <w:tcPr>
            <w:tcW w:w="1350" w:type="dxa"/>
          </w:tcPr>
          <w:p>
            <w:pPr>
              <w:jc w:val="center"/>
            </w:pPr>
            <w:r>
              <w:rPr>
                <w:sz w:val="19"/>
              </w:rPr>
              <w:t>6.32e−4</w:t>
            </w:r>
          </w:p>
        </w:tc>
        <w:tc>
          <w:tcPr>
            <w:tcW w:w="1350" w:type="dxa"/>
          </w:tcPr>
          <w:p>
            <w:pPr>
              <w:jc w:val="center"/>
            </w:pPr>
            <w:r>
              <w:rPr>
                <w:sz w:val="19"/>
              </w:rPr>
              <w:t>76.6</w:t>
            </w:r>
          </w:p>
        </w:tc>
        <w:tc>
          <w:tcPr>
            <w:tcW w:w="1170" w:type="dxa"/>
          </w:tcPr>
          <w:p>
            <w:pPr>
              <w:jc w:val="center"/>
            </w:pPr>
            <w:r>
              <w:rPr>
                <w:sz w:val="19"/>
              </w:rPr>
              <w:t>69.3</w:t>
            </w:r>
          </w:p>
        </w:tc>
        <w:tc>
          <w:tcPr>
            <w:tcW w:w="1260" w:type="dxa"/>
          </w:tcPr>
          <w:p>
            <w:pPr>
              <w:jc w:val="center"/>
            </w:pPr>
            <w:r>
              <w:rPr>
                <w:sz w:val="19"/>
              </w:rPr>
              <w:t>6.01e−10</w:t>
            </w:r>
          </w:p>
        </w:tc>
      </w:tr>
    </w:tbl>
    <w:p/>
    <w:p>
      <w:pPr>
        <w:spacing w:after="120"/>
      </w:pPr>
      <w:r>
        <w:rPr>
          <w:b w:val="0"/>
          <w:i w:val="0"/>
          <w:sz w:val="21"/>
        </w:rPr>
        <w:t>응력·이동도·구동전류가 반전 없이 단조 증가하며, "응력 증가 → 이동도 증가 → 전류 증가"의 메커니즘이 이 축에서 분리 없이 성립한다. 테스트 범위 전체에서 포화 조짐은 관찰되지 않았다.</w:t>
      </w:r>
    </w:p>
    <w:p>
      <w:pPr>
        <w:spacing w:after="120"/>
      </w:pPr>
      <w:r>
        <w:rPr>
          <w:b/>
          <w:i w:val="0"/>
          <w:sz w:val="21"/>
        </w:rPr>
        <w:t xml:space="preserve">Ge 조성의 비용은 누설로 국한된다. </w:t>
      </w:r>
      <w:r>
        <w:rPr>
          <w:b w:val="0"/>
          <w:i w:val="0"/>
          <w:sz w:val="21"/>
        </w:rPr>
        <w:t xml:space="preserve">다섯 조건의 형상이 동일하므로 정전제어 지표(SSlin, DIBL)는 변하지 않거나 오히려 개선된다 — 게이트 제어는 형상이 결정하기 때문이다. 반면 누설(Ioff)은 약 6배 증가한다. 이는 형상과 무관한 요인, 즉 </w:t>
      </w:r>
      <w:r>
        <w:rPr>
          <w:b/>
          <w:i w:val="0"/>
          <w:sz w:val="21"/>
        </w:rPr>
        <w:t>Ge 함량 증가에 따른 SiGe 밴드갭 축소와 그로 인한 드레인 접합 대역간 터널링(BTBT)</w:t>
      </w:r>
      <w:r>
        <w:rPr>
          <w:b w:val="0"/>
          <w:i w:val="0"/>
          <w:sz w:val="21"/>
        </w:rPr>
        <w:t>에 기인한다. 즉 Ge 조성 상향의 대가는 정전제어 악화가 아니라 누설 증가로 특정된다.</w:t>
      </w:r>
    </w:p>
    <w:p>
      <w:pPr>
        <w:pStyle w:val="Heading2"/>
        <w:spacing w:before="240" w:after="120"/>
      </w:pPr>
      <w:r>
        <w:rPr>
          <w:color w:val="305496"/>
          <w:sz w:val="26"/>
        </w:rPr>
        <w:t>3.2  절대 응력과 전달 효율의 분리 — 지배 변수가 뒤바뀐다</w:t>
      </w:r>
    </w:p>
    <w:p>
      <w:pPr>
        <w:spacing w:after="120"/>
      </w:pPr>
      <w:r>
        <w:rPr>
          <w:b w:val="0"/>
          <w:i w:val="0"/>
          <w:sz w:val="21"/>
        </w:rPr>
        <w:t>두 변수의 기여를 정량 비교하기 위해 25 격자점 전체에 교호작용항을 포함한 2요인 회귀모형(2FI)을 적합했다. 단위 차이에 의한 계수 왜곡을 제거하기 위해 두 변수를 −1 ~ +1로 코딩했다.</w:t>
      </w:r>
    </w:p>
    <w:p>
      <w:pPr>
        <w:jc w:val="center"/>
      </w:pPr>
      <w:r>
        <w:rPr>
          <w:b/>
          <w:color w:val="1F3864"/>
          <w:sz w:val="22"/>
        </w:rPr>
        <w:t>z  =  b₀ + b₁·(Ge%) + b₂·(FR) + b₁₂·(Ge% × FR)</w:t>
      </w:r>
    </w:p>
    <w:p>
      <w:pPr>
        <w:pStyle w:val="Heading3"/>
        <w:spacing w:before="200" w:after="80"/>
      </w:pPr>
      <w:r>
        <w:rPr>
          <w:color w:val="305496"/>
          <w:sz w:val="23"/>
        </w:rPr>
        <w:t>절대 응력 기준</w:t>
      </w:r>
    </w:p>
    <w:tbl>
      <w:tblPr>
        <w:tblStyle w:val="TableGrid"/>
        <w:tblW w:type="auto" w:w="0"/>
        <w:jc w:val="center"/>
        <w:tblLayout w:type="fixed"/>
        <w:tblLook w:firstColumn="1" w:firstRow="1" w:lastColumn="0" w:lastRow="0" w:noHBand="0" w:noVBand="1" w:val="04A0"/>
      </w:tblPr>
      <w:tblGrid>
        <w:gridCol w:w="2700"/>
        <w:gridCol w:w="1530"/>
        <w:gridCol w:w="1530"/>
        <w:gridCol w:w="3240"/>
      </w:tblGrid>
      <w:tr>
        <w:tc>
          <w:tcPr>
            <w:shd w:val="clear" w:color="auto" w:fill="305496"/>
            <w:tcW w:w="2700" w:type="dxa"/>
          </w:tcPr>
          <w:p>
            <w:pPr>
              <w:jc w:val="center"/>
            </w:pPr>
            <w:r>
              <w:rPr>
                <w:b/>
                <w:color w:val="FFFFFF"/>
                <w:sz w:val="19"/>
              </w:rPr>
              <w:t>항</w:t>
            </w:r>
          </w:p>
        </w:tc>
        <w:tc>
          <w:tcPr>
            <w:shd w:val="clear" w:color="auto" w:fill="305496"/>
            <w:tcW w:w="1530" w:type="dxa"/>
          </w:tcPr>
          <w:p>
            <w:pPr>
              <w:jc w:val="center"/>
            </w:pPr>
            <w:r>
              <w:rPr>
                <w:b/>
                <w:color w:val="FFFFFF"/>
                <w:sz w:val="19"/>
              </w:rPr>
              <w:t>계수</w:t>
            </w:r>
          </w:p>
        </w:tc>
        <w:tc>
          <w:tcPr>
            <w:shd w:val="clear" w:color="auto" w:fill="305496"/>
            <w:tcW w:w="1530" w:type="dxa"/>
          </w:tcPr>
          <w:p>
            <w:pPr>
              <w:jc w:val="center"/>
            </w:pPr>
            <w:r>
              <w:rPr>
                <w:b/>
                <w:color w:val="FFFFFF"/>
                <w:sz w:val="19"/>
              </w:rPr>
              <w:t>t값</w:t>
            </w:r>
          </w:p>
        </w:tc>
        <w:tc>
          <w:tcPr>
            <w:shd w:val="clear" w:color="auto" w:fill="305496"/>
            <w:tcW w:w="3240" w:type="dxa"/>
          </w:tcPr>
          <w:p>
            <w:pPr>
              <w:jc w:val="center"/>
            </w:pPr>
            <w:r>
              <w:rPr>
                <w:b/>
                <w:color w:val="FFFFFF"/>
                <w:sz w:val="19"/>
              </w:rPr>
              <w:t>판정</w:t>
            </w:r>
          </w:p>
        </w:tc>
      </w:tr>
      <w:tr>
        <w:tc>
          <w:tcPr>
            <w:tcW w:w="2700" w:type="dxa"/>
          </w:tcPr>
          <w:p>
            <w:r>
              <w:rPr>
                <w:sz w:val="19"/>
              </w:rPr>
              <w:t>절편</w:t>
            </w:r>
          </w:p>
        </w:tc>
        <w:tc>
          <w:tcPr>
            <w:tcW w:w="1530" w:type="dxa"/>
          </w:tcPr>
          <w:p>
            <w:pPr>
              <w:jc w:val="center"/>
            </w:pPr>
            <w:r>
              <w:rPr>
                <w:sz w:val="19"/>
              </w:rPr>
              <w:t>−2.4551</w:t>
            </w:r>
          </w:p>
        </w:tc>
        <w:tc>
          <w:tcPr>
            <w:tcW w:w="1530" w:type="dxa"/>
          </w:tcPr>
          <w:p>
            <w:pPr>
              <w:jc w:val="center"/>
            </w:pPr>
            <w:r>
              <w:rPr>
                <w:sz w:val="19"/>
              </w:rPr>
              <w:t>−216.93</w:t>
            </w:r>
          </w:p>
        </w:tc>
        <w:tc>
          <w:tcPr>
            <w:tcW w:w="3240" w:type="dxa"/>
          </w:tcPr>
          <w:p>
            <w:pPr>
              <w:jc w:val="center"/>
            </w:pPr>
            <w:r>
              <w:rPr>
                <w:sz w:val="19"/>
              </w:rPr>
              <w:t>—</w:t>
            </w:r>
          </w:p>
        </w:tc>
      </w:tr>
      <w:tr>
        <w:tc>
          <w:tcPr>
            <w:shd w:val="clear" w:color="auto" w:fill="F4F6FA"/>
            <w:tcW w:w="2700" w:type="dxa"/>
          </w:tcPr>
          <w:p>
            <w:r>
              <w:rPr>
                <w:b/>
                <w:sz w:val="19"/>
              </w:rPr>
              <w:t>Ge 조성 (주효과)</w:t>
            </w:r>
          </w:p>
        </w:tc>
        <w:tc>
          <w:tcPr>
            <w:shd w:val="clear" w:color="auto" w:fill="F4F6FA"/>
            <w:tcW w:w="1530" w:type="dxa"/>
          </w:tcPr>
          <w:p>
            <w:pPr>
              <w:jc w:val="center"/>
            </w:pPr>
            <w:r>
              <w:rPr>
                <w:b/>
                <w:sz w:val="19"/>
              </w:rPr>
              <w:t>−0.9888</w:t>
            </w:r>
          </w:p>
        </w:tc>
        <w:tc>
          <w:tcPr>
            <w:shd w:val="clear" w:color="auto" w:fill="F4F6FA"/>
            <w:tcW w:w="1530" w:type="dxa"/>
          </w:tcPr>
          <w:p>
            <w:pPr>
              <w:jc w:val="center"/>
            </w:pPr>
            <w:r>
              <w:rPr>
                <w:b/>
                <w:sz w:val="19"/>
              </w:rPr>
              <w:t>−61.78</w:t>
            </w:r>
          </w:p>
        </w:tc>
        <w:tc>
          <w:tcPr>
            <w:shd w:val="clear" w:color="auto" w:fill="F4F6FA"/>
            <w:tcW w:w="3240" w:type="dxa"/>
          </w:tcPr>
          <w:p>
            <w:pPr>
              <w:jc w:val="center"/>
            </w:pPr>
            <w:r>
              <w:rPr>
                <w:b/>
                <w:sz w:val="19"/>
              </w:rPr>
              <w:t>매우 유의, 지배적</w:t>
            </w:r>
          </w:p>
        </w:tc>
      </w:tr>
      <w:tr>
        <w:tc>
          <w:tcPr>
            <w:tcW w:w="2700" w:type="dxa"/>
          </w:tcPr>
          <w:p>
            <w:r>
              <w:rPr>
                <w:sz w:val="19"/>
              </w:rPr>
              <w:t>FR (주효과)</w:t>
            </w:r>
          </w:p>
        </w:tc>
        <w:tc>
          <w:tcPr>
            <w:tcW w:w="1530" w:type="dxa"/>
          </w:tcPr>
          <w:p>
            <w:pPr>
              <w:jc w:val="center"/>
            </w:pPr>
            <w:r>
              <w:rPr>
                <w:sz w:val="19"/>
              </w:rPr>
              <w:t>−0.1225</w:t>
            </w:r>
          </w:p>
        </w:tc>
        <w:tc>
          <w:tcPr>
            <w:tcW w:w="1530" w:type="dxa"/>
          </w:tcPr>
          <w:p>
            <w:pPr>
              <w:jc w:val="center"/>
            </w:pPr>
            <w:r>
              <w:rPr>
                <w:sz w:val="19"/>
              </w:rPr>
              <w:t>−7.97</w:t>
            </w:r>
          </w:p>
        </w:tc>
        <w:tc>
          <w:tcPr>
            <w:tcW w:w="3240" w:type="dxa"/>
          </w:tcPr>
          <w:p>
            <w:pPr>
              <w:jc w:val="center"/>
            </w:pPr>
            <w:r>
              <w:rPr>
                <w:sz w:val="19"/>
              </w:rPr>
              <w:t>유의하나 Ge 조성의 1/8 수준</w:t>
            </w:r>
          </w:p>
        </w:tc>
      </w:tr>
      <w:tr>
        <w:tc>
          <w:tcPr>
            <w:shd w:val="clear" w:color="auto" w:fill="F4F6FA"/>
            <w:tcW w:w="2700" w:type="dxa"/>
          </w:tcPr>
          <w:p>
            <w:r>
              <w:rPr>
                <w:b/>
                <w:sz w:val="19"/>
              </w:rPr>
              <w:t>Ge 조성 × FR (교호작용)</w:t>
            </w:r>
          </w:p>
        </w:tc>
        <w:tc>
          <w:tcPr>
            <w:shd w:val="clear" w:color="auto" w:fill="F4F6FA"/>
            <w:tcW w:w="1530" w:type="dxa"/>
          </w:tcPr>
          <w:p>
            <w:pPr>
              <w:jc w:val="center"/>
            </w:pPr>
            <w:r>
              <w:rPr>
                <w:b/>
                <w:sz w:val="19"/>
              </w:rPr>
              <w:t>−0.0340</w:t>
            </w:r>
          </w:p>
        </w:tc>
        <w:tc>
          <w:tcPr>
            <w:shd w:val="clear" w:color="auto" w:fill="F4F6FA"/>
            <w:tcW w:w="1530" w:type="dxa"/>
          </w:tcPr>
          <w:p>
            <w:pPr>
              <w:jc w:val="center"/>
            </w:pPr>
            <w:r>
              <w:rPr>
                <w:b/>
                <w:sz w:val="19"/>
              </w:rPr>
              <w:t>−1.57</w:t>
            </w:r>
          </w:p>
        </w:tc>
        <w:tc>
          <w:tcPr>
            <w:shd w:val="clear" w:color="auto" w:fill="F4F6FA"/>
            <w:tcW w:w="3240" w:type="dxa"/>
          </w:tcPr>
          <w:p>
            <w:pPr>
              <w:jc w:val="center"/>
            </w:pPr>
            <w:r>
              <w:rPr>
                <w:b/>
                <w:sz w:val="19"/>
              </w:rPr>
              <w:t>유의하지 않음 (독립)</w:t>
            </w:r>
          </w:p>
        </w:tc>
      </w:tr>
    </w:tbl>
    <w:p/>
    <w:p>
      <w:pPr>
        <w:spacing w:after="120"/>
      </w:pPr>
      <w:r>
        <w:rPr>
          <w:b/>
          <w:i w:val="0"/>
          <w:sz w:val="21"/>
        </w:rPr>
        <w:t xml:space="preserve">R² = 0.9947. </w:t>
      </w:r>
      <w:r>
        <w:rPr>
          <w:b w:val="0"/>
          <w:i w:val="0"/>
          <w:sz w:val="21"/>
        </w:rPr>
        <w:t>절대 응력은 Ge 조성이 압도적으로 지배하며, 등고선은 거의 수직으로 나타난다. Ge 조성을 바꾸면 응력이 크게 변하지만, 같은 Ge 조성 안에서 FR을 바꾸는 것으로는 10~14% 변화에 그친다.</w:t>
      </w:r>
    </w:p>
    <w:p>
      <w:pPr>
        <w:spacing w:after="40"/>
        <w:jc w:val="center"/>
      </w:pPr>
      <w:r>
        <w:drawing>
          <wp:inline xmlns:a="http://schemas.openxmlformats.org/drawingml/2006/main" xmlns:pic="http://schemas.openxmlformats.org/drawingml/2006/picture">
            <wp:extent cx="5040000" cy="3584000"/>
            <wp:docPr id="1" name="Picture 1"/>
            <wp:cNvGraphicFramePr>
              <a:graphicFrameLocks noChangeAspect="1"/>
            </wp:cNvGraphicFramePr>
            <a:graphic>
              <a:graphicData uri="http://schemas.openxmlformats.org/drawingml/2006/picture">
                <pic:pic>
                  <pic:nvPicPr>
                    <pic:cNvPr id="0" name="pres_stress_map.png"/>
                    <pic:cNvPicPr/>
                  </pic:nvPicPr>
                  <pic:blipFill>
                    <a:blip r:embed="rId9"/>
                    <a:stretch>
                      <a:fillRect/>
                    </a:stretch>
                  </pic:blipFill>
                  <pic:spPr>
                    <a:xfrm>
                      <a:off x="0" y="0"/>
                      <a:ext cx="5040000" cy="3584000"/>
                    </a:xfrm>
                    <a:prstGeom prst="rect"/>
                  </pic:spPr>
                </pic:pic>
              </a:graphicData>
            </a:graphic>
          </wp:inline>
        </w:drawing>
      </w:r>
    </w:p>
    <w:p>
      <w:pPr>
        <w:spacing w:after="200"/>
        <w:jc w:val="center"/>
      </w:pPr>
      <w:r>
        <w:rPr>
          <w:i/>
          <w:color w:val="595959"/>
          <w:sz w:val="18"/>
        </w:rPr>
        <w:t>그림 1. 절대 응력 지도 — 등고선이 수직이며, Ge 조성이 지배 변수다</w:t>
      </w:r>
    </w:p>
    <w:p>
      <w:pPr>
        <w:pStyle w:val="Heading3"/>
        <w:spacing w:before="200" w:after="80"/>
      </w:pPr>
      <w:r>
        <w:rPr>
          <w:color w:val="305496"/>
          <w:sz w:val="23"/>
        </w:rPr>
        <w:t>STE 기준</w:t>
      </w:r>
    </w:p>
    <w:tbl>
      <w:tblPr>
        <w:tblStyle w:val="TableGrid"/>
        <w:tblW w:type="auto" w:w="0"/>
        <w:jc w:val="center"/>
        <w:tblLayout w:type="fixed"/>
        <w:tblLook w:firstColumn="1" w:firstRow="1" w:lastColumn="0" w:lastRow="0" w:noHBand="0" w:noVBand="1" w:val="04A0"/>
      </w:tblPr>
      <w:tblGrid>
        <w:gridCol w:w="2700"/>
        <w:gridCol w:w="1530"/>
        <w:gridCol w:w="1530"/>
        <w:gridCol w:w="3240"/>
      </w:tblGrid>
      <w:tr>
        <w:tc>
          <w:tcPr>
            <w:shd w:val="clear" w:color="auto" w:fill="305496"/>
            <w:tcW w:w="2700" w:type="dxa"/>
          </w:tcPr>
          <w:p>
            <w:pPr>
              <w:jc w:val="center"/>
            </w:pPr>
            <w:r>
              <w:rPr>
                <w:b/>
                <w:color w:val="FFFFFF"/>
                <w:sz w:val="19"/>
              </w:rPr>
              <w:t>항</w:t>
            </w:r>
          </w:p>
        </w:tc>
        <w:tc>
          <w:tcPr>
            <w:shd w:val="clear" w:color="auto" w:fill="305496"/>
            <w:tcW w:w="1530" w:type="dxa"/>
          </w:tcPr>
          <w:p>
            <w:pPr>
              <w:jc w:val="center"/>
            </w:pPr>
            <w:r>
              <w:rPr>
                <w:b/>
                <w:color w:val="FFFFFF"/>
                <w:sz w:val="19"/>
              </w:rPr>
              <w:t>계수</w:t>
            </w:r>
          </w:p>
        </w:tc>
        <w:tc>
          <w:tcPr>
            <w:shd w:val="clear" w:color="auto" w:fill="305496"/>
            <w:tcW w:w="1530" w:type="dxa"/>
          </w:tcPr>
          <w:p>
            <w:pPr>
              <w:jc w:val="center"/>
            </w:pPr>
            <w:r>
              <w:rPr>
                <w:b/>
                <w:color w:val="FFFFFF"/>
                <w:sz w:val="19"/>
              </w:rPr>
              <w:t>t값</w:t>
            </w:r>
          </w:p>
        </w:tc>
        <w:tc>
          <w:tcPr>
            <w:shd w:val="clear" w:color="auto" w:fill="305496"/>
            <w:tcW w:w="3240" w:type="dxa"/>
          </w:tcPr>
          <w:p>
            <w:pPr>
              <w:jc w:val="center"/>
            </w:pPr>
            <w:r>
              <w:rPr>
                <w:b/>
                <w:color w:val="FFFFFF"/>
                <w:sz w:val="19"/>
              </w:rPr>
              <w:t>판정</w:t>
            </w:r>
          </w:p>
        </w:tc>
      </w:tr>
      <w:tr>
        <w:tc>
          <w:tcPr>
            <w:tcW w:w="2700" w:type="dxa"/>
          </w:tcPr>
          <w:p>
            <w:r>
              <w:rPr>
                <w:sz w:val="19"/>
              </w:rPr>
              <w:t>절편</w:t>
            </w:r>
          </w:p>
        </w:tc>
        <w:tc>
          <w:tcPr>
            <w:tcW w:w="1530" w:type="dxa"/>
          </w:tcPr>
          <w:p>
            <w:pPr>
              <w:jc w:val="center"/>
            </w:pPr>
            <w:r>
              <w:rPr>
                <w:sz w:val="19"/>
              </w:rPr>
              <w:t>0.6492</w:t>
            </w:r>
          </w:p>
        </w:tc>
        <w:tc>
          <w:tcPr>
            <w:tcW w:w="1530" w:type="dxa"/>
          </w:tcPr>
          <w:p>
            <w:pPr>
              <w:jc w:val="center"/>
            </w:pPr>
            <w:r>
              <w:rPr>
                <w:sz w:val="19"/>
              </w:rPr>
              <w:t>222.40</w:t>
            </w:r>
          </w:p>
        </w:tc>
        <w:tc>
          <w:tcPr>
            <w:tcW w:w="3240" w:type="dxa"/>
          </w:tcPr>
          <w:p>
            <w:pPr>
              <w:jc w:val="center"/>
            </w:pPr>
            <w:r>
              <w:rPr>
                <w:sz w:val="19"/>
              </w:rPr>
              <w:t>—</w:t>
            </w:r>
          </w:p>
        </w:tc>
      </w:tr>
      <w:tr>
        <w:tc>
          <w:tcPr>
            <w:shd w:val="clear" w:color="auto" w:fill="F4F6FA"/>
            <w:tcW w:w="2700" w:type="dxa"/>
          </w:tcPr>
          <w:p>
            <w:r>
              <w:rPr>
                <w:b/>
                <w:sz w:val="19"/>
              </w:rPr>
              <w:t>Ge 조성 (주효과)</w:t>
            </w:r>
          </w:p>
        </w:tc>
        <w:tc>
          <w:tcPr>
            <w:shd w:val="clear" w:color="auto" w:fill="F4F6FA"/>
            <w:tcW w:w="1530" w:type="dxa"/>
          </w:tcPr>
          <w:p>
            <w:pPr>
              <w:jc w:val="center"/>
            </w:pPr>
            <w:r>
              <w:rPr>
                <w:b/>
                <w:sz w:val="19"/>
              </w:rPr>
              <w:t>0.0013</w:t>
            </w:r>
          </w:p>
        </w:tc>
        <w:tc>
          <w:tcPr>
            <w:shd w:val="clear" w:color="auto" w:fill="F4F6FA"/>
            <w:tcW w:w="1530" w:type="dxa"/>
          </w:tcPr>
          <w:p>
            <w:pPr>
              <w:jc w:val="center"/>
            </w:pPr>
            <w:r>
              <w:rPr>
                <w:b/>
                <w:sz w:val="19"/>
              </w:rPr>
              <w:t>0.32</w:t>
            </w:r>
          </w:p>
        </w:tc>
        <w:tc>
          <w:tcPr>
            <w:shd w:val="clear" w:color="auto" w:fill="F4F6FA"/>
            <w:tcW w:w="3240" w:type="dxa"/>
          </w:tcPr>
          <w:p>
            <w:pPr>
              <w:jc w:val="center"/>
            </w:pPr>
            <w:r>
              <w:rPr>
                <w:b/>
                <w:sz w:val="19"/>
              </w:rPr>
              <w:t>유의하지 않음 — 효과 소멸</w:t>
            </w:r>
          </w:p>
        </w:tc>
      </w:tr>
      <w:tr>
        <w:tc>
          <w:tcPr>
            <w:tcW w:w="2700" w:type="dxa"/>
          </w:tcPr>
          <w:p>
            <w:r>
              <w:rPr>
                <w:b/>
                <w:sz w:val="19"/>
              </w:rPr>
              <w:t>FR (주효과)</w:t>
            </w:r>
          </w:p>
        </w:tc>
        <w:tc>
          <w:tcPr>
            <w:tcW w:w="1530" w:type="dxa"/>
          </w:tcPr>
          <w:p>
            <w:pPr>
              <w:jc w:val="center"/>
            </w:pPr>
            <w:r>
              <w:rPr>
                <w:b/>
                <w:sz w:val="19"/>
              </w:rPr>
              <w:t>0.0333</w:t>
            </w:r>
          </w:p>
        </w:tc>
        <w:tc>
          <w:tcPr>
            <w:tcW w:w="1530" w:type="dxa"/>
          </w:tcPr>
          <w:p>
            <w:pPr>
              <w:jc w:val="center"/>
            </w:pPr>
            <w:r>
              <w:rPr>
                <w:b/>
                <w:sz w:val="19"/>
              </w:rPr>
              <w:t>8.41</w:t>
            </w:r>
          </w:p>
        </w:tc>
        <w:tc>
          <w:tcPr>
            <w:tcW w:w="3240" w:type="dxa"/>
          </w:tcPr>
          <w:p>
            <w:pPr>
              <w:jc w:val="center"/>
            </w:pPr>
            <w:r>
              <w:rPr>
                <w:b/>
                <w:sz w:val="19"/>
              </w:rPr>
              <w:t>지배적</w:t>
            </w:r>
          </w:p>
        </w:tc>
      </w:tr>
      <w:tr>
        <w:tc>
          <w:tcPr>
            <w:shd w:val="clear" w:color="auto" w:fill="F4F6FA"/>
            <w:tcW w:w="2700" w:type="dxa"/>
          </w:tcPr>
          <w:p>
            <w:r>
              <w:rPr>
                <w:sz w:val="19"/>
              </w:rPr>
              <w:t>Ge 조성 × FR (교호작용)</w:t>
            </w:r>
          </w:p>
        </w:tc>
        <w:tc>
          <w:tcPr>
            <w:shd w:val="clear" w:color="auto" w:fill="F4F6FA"/>
            <w:tcW w:w="1530" w:type="dxa"/>
          </w:tcPr>
          <w:p>
            <w:pPr>
              <w:jc w:val="center"/>
            </w:pPr>
            <w:r>
              <w:rPr>
                <w:sz w:val="19"/>
              </w:rPr>
              <w:t>−0.0046</w:t>
            </w:r>
          </w:p>
        </w:tc>
        <w:tc>
          <w:tcPr>
            <w:shd w:val="clear" w:color="auto" w:fill="F4F6FA"/>
            <w:tcW w:w="1530" w:type="dxa"/>
          </w:tcPr>
          <w:p>
            <w:pPr>
              <w:jc w:val="center"/>
            </w:pPr>
            <w:r>
              <w:rPr>
                <w:sz w:val="19"/>
              </w:rPr>
              <w:t>−0.82</w:t>
            </w:r>
          </w:p>
        </w:tc>
        <w:tc>
          <w:tcPr>
            <w:shd w:val="clear" w:color="auto" w:fill="F4F6FA"/>
            <w:tcW w:w="3240" w:type="dxa"/>
          </w:tcPr>
          <w:p>
            <w:pPr>
              <w:jc w:val="center"/>
            </w:pPr>
            <w:r>
              <w:rPr>
                <w:sz w:val="19"/>
              </w:rPr>
              <w:t>유의하지 않음 (독립)</w:t>
            </w:r>
          </w:p>
        </w:tc>
      </w:tr>
    </w:tbl>
    <w:p/>
    <w:p>
      <w:pPr>
        <w:spacing w:after="120"/>
      </w:pPr>
      <w:r>
        <w:rPr>
          <w:b w:val="0"/>
          <w:i w:val="0"/>
          <w:sz w:val="21"/>
        </w:rPr>
        <w:t>절대 응력 기준에서 t = −61.78로 압도적이던 Ge 조성이, STE 기준에서는 t = 0.32로 통계적 유의성을 완전히 잃는다. 대신 FR이 지배 변수가 된다. 25 격자점의 STE 실측값은 다음과 같다.</w:t>
      </w:r>
    </w:p>
    <w:tbl>
      <w:tblPr>
        <w:tblStyle w:val="TableGrid"/>
        <w:tblW w:type="auto" w:w="0"/>
        <w:jc w:val="center"/>
        <w:tblLayout w:type="fixed"/>
        <w:tblLook w:firstColumn="1" w:firstRow="1" w:lastColumn="0" w:lastRow="0" w:noHBand="0" w:noVBand="1" w:val="04A0"/>
      </w:tblPr>
      <w:tblGrid>
        <w:gridCol w:w="1800"/>
        <w:gridCol w:w="1440"/>
        <w:gridCol w:w="1440"/>
        <w:gridCol w:w="1440"/>
        <w:gridCol w:w="1440"/>
        <w:gridCol w:w="1440"/>
      </w:tblGrid>
      <w:tr>
        <w:tc>
          <w:tcPr>
            <w:shd w:val="clear" w:color="auto" w:fill="305496"/>
            <w:tcW w:w="1800" w:type="dxa"/>
          </w:tcPr>
          <w:p>
            <w:pPr>
              <w:jc w:val="center"/>
            </w:pPr>
            <w:r>
              <w:rPr>
                <w:b/>
                <w:color w:val="FFFFFF"/>
                <w:sz w:val="19"/>
              </w:rPr>
              <w:t>FR ＼ Ge</w:t>
            </w:r>
          </w:p>
        </w:tc>
        <w:tc>
          <w:tcPr>
            <w:shd w:val="clear" w:color="auto" w:fill="305496"/>
            <w:tcW w:w="1440" w:type="dxa"/>
          </w:tcPr>
          <w:p>
            <w:pPr>
              <w:jc w:val="center"/>
            </w:pPr>
            <w:r>
              <w:rPr>
                <w:b/>
                <w:color w:val="FFFFFF"/>
                <w:sz w:val="19"/>
              </w:rPr>
              <w:t>30%</w:t>
            </w:r>
          </w:p>
        </w:tc>
        <w:tc>
          <w:tcPr>
            <w:shd w:val="clear" w:color="auto" w:fill="305496"/>
            <w:tcW w:w="1440" w:type="dxa"/>
          </w:tcPr>
          <w:p>
            <w:pPr>
              <w:jc w:val="center"/>
            </w:pPr>
            <w:r>
              <w:rPr>
                <w:b/>
                <w:color w:val="FFFFFF"/>
                <w:sz w:val="19"/>
              </w:rPr>
              <w:t>40%</w:t>
            </w:r>
          </w:p>
        </w:tc>
        <w:tc>
          <w:tcPr>
            <w:shd w:val="clear" w:color="auto" w:fill="305496"/>
            <w:tcW w:w="1440" w:type="dxa"/>
          </w:tcPr>
          <w:p>
            <w:pPr>
              <w:jc w:val="center"/>
            </w:pPr>
            <w:r>
              <w:rPr>
                <w:b/>
                <w:color w:val="FFFFFF"/>
                <w:sz w:val="19"/>
              </w:rPr>
              <w:t>50%</w:t>
            </w:r>
          </w:p>
        </w:tc>
        <w:tc>
          <w:tcPr>
            <w:shd w:val="clear" w:color="auto" w:fill="305496"/>
            <w:tcW w:w="1440" w:type="dxa"/>
          </w:tcPr>
          <w:p>
            <w:pPr>
              <w:jc w:val="center"/>
            </w:pPr>
            <w:r>
              <w:rPr>
                <w:b/>
                <w:color w:val="FFFFFF"/>
                <w:sz w:val="19"/>
              </w:rPr>
              <w:t>60%</w:t>
            </w:r>
          </w:p>
        </w:tc>
        <w:tc>
          <w:tcPr>
            <w:shd w:val="clear" w:color="auto" w:fill="305496"/>
            <w:tcW w:w="1440" w:type="dxa"/>
          </w:tcPr>
          <w:p>
            <w:pPr>
              <w:jc w:val="center"/>
            </w:pPr>
            <w:r>
              <w:rPr>
                <w:b/>
                <w:color w:val="FFFFFF"/>
                <w:sz w:val="19"/>
              </w:rPr>
              <w:t>70%</w:t>
            </w:r>
          </w:p>
        </w:tc>
      </w:tr>
      <w:tr>
        <w:tc>
          <w:tcPr>
            <w:tcW w:w="1800" w:type="dxa"/>
          </w:tcPr>
          <w:p>
            <w:r>
              <w:rPr>
                <w:sz w:val="19"/>
              </w:rPr>
              <w:t>0 nm</w:t>
            </w:r>
          </w:p>
        </w:tc>
        <w:tc>
          <w:tcPr>
            <w:tcW w:w="1440" w:type="dxa"/>
          </w:tcPr>
          <w:p>
            <w:pPr>
              <w:jc w:val="center"/>
            </w:pPr>
            <w:r>
              <w:rPr>
                <w:sz w:val="19"/>
              </w:rPr>
              <w:t>0.593</w:t>
            </w:r>
          </w:p>
        </w:tc>
        <w:tc>
          <w:tcPr>
            <w:tcW w:w="1440" w:type="dxa"/>
          </w:tcPr>
          <w:p>
            <w:pPr>
              <w:jc w:val="center"/>
            </w:pPr>
            <w:r>
              <w:rPr>
                <w:sz w:val="19"/>
              </w:rPr>
              <w:t>0.596</w:t>
            </w:r>
          </w:p>
        </w:tc>
        <w:tc>
          <w:tcPr>
            <w:tcW w:w="1440" w:type="dxa"/>
          </w:tcPr>
          <w:p>
            <w:pPr>
              <w:jc w:val="center"/>
            </w:pPr>
            <w:r>
              <w:rPr>
                <w:sz w:val="19"/>
              </w:rPr>
              <w:t>0.598</w:t>
            </w:r>
          </w:p>
        </w:tc>
        <w:tc>
          <w:tcPr>
            <w:tcW w:w="1440" w:type="dxa"/>
          </w:tcPr>
          <w:p>
            <w:pPr>
              <w:jc w:val="center"/>
            </w:pPr>
            <w:r>
              <w:rPr>
                <w:sz w:val="19"/>
              </w:rPr>
              <w:t>0.602</w:t>
            </w:r>
          </w:p>
        </w:tc>
        <w:tc>
          <w:tcPr>
            <w:tcW w:w="1440" w:type="dxa"/>
          </w:tcPr>
          <w:p>
            <w:pPr>
              <w:jc w:val="center"/>
            </w:pPr>
            <w:r>
              <w:rPr>
                <w:sz w:val="19"/>
              </w:rPr>
              <w:t>0.607</w:t>
            </w:r>
          </w:p>
        </w:tc>
      </w:tr>
      <w:tr>
        <w:tc>
          <w:tcPr>
            <w:shd w:val="clear" w:color="auto" w:fill="F4F6FA"/>
            <w:tcW w:w="1800" w:type="dxa"/>
          </w:tcPr>
          <w:p>
            <w:r>
              <w:rPr>
                <w:sz w:val="19"/>
              </w:rPr>
              <w:t>10 nm</w:t>
            </w:r>
          </w:p>
        </w:tc>
        <w:tc>
          <w:tcPr>
            <w:shd w:val="clear" w:color="auto" w:fill="F4F6FA"/>
            <w:tcW w:w="1440" w:type="dxa"/>
          </w:tcPr>
          <w:p>
            <w:pPr>
              <w:jc w:val="center"/>
            </w:pPr>
            <w:r>
              <w:rPr>
                <w:sz w:val="19"/>
              </w:rPr>
              <w:t>0.649</w:t>
            </w:r>
          </w:p>
        </w:tc>
        <w:tc>
          <w:tcPr>
            <w:shd w:val="clear" w:color="auto" w:fill="F4F6FA"/>
            <w:tcW w:w="1440" w:type="dxa"/>
          </w:tcPr>
          <w:p>
            <w:pPr>
              <w:jc w:val="center"/>
            </w:pPr>
            <w:r>
              <w:rPr>
                <w:sz w:val="19"/>
              </w:rPr>
              <w:t>0.647</w:t>
            </w:r>
          </w:p>
        </w:tc>
        <w:tc>
          <w:tcPr>
            <w:shd w:val="clear" w:color="auto" w:fill="F4F6FA"/>
            <w:tcW w:w="1440" w:type="dxa"/>
          </w:tcPr>
          <w:p>
            <w:pPr>
              <w:jc w:val="center"/>
            </w:pPr>
            <w:r>
              <w:rPr>
                <w:sz w:val="19"/>
              </w:rPr>
              <w:t>0.648</w:t>
            </w:r>
          </w:p>
        </w:tc>
        <w:tc>
          <w:tcPr>
            <w:shd w:val="clear" w:color="auto" w:fill="F4F6FA"/>
            <w:tcW w:w="1440" w:type="dxa"/>
          </w:tcPr>
          <w:p>
            <w:pPr>
              <w:jc w:val="center"/>
            </w:pPr>
            <w:r>
              <w:rPr>
                <w:sz w:val="19"/>
              </w:rPr>
              <w:t>0.650</w:t>
            </w:r>
          </w:p>
        </w:tc>
        <w:tc>
          <w:tcPr>
            <w:shd w:val="clear" w:color="auto" w:fill="F4F6FA"/>
            <w:tcW w:w="1440" w:type="dxa"/>
          </w:tcPr>
          <w:p>
            <w:pPr>
              <w:jc w:val="center"/>
            </w:pPr>
            <w:r>
              <w:rPr>
                <w:sz w:val="19"/>
              </w:rPr>
              <w:t>0.654</w:t>
            </w:r>
          </w:p>
        </w:tc>
      </w:tr>
      <w:tr>
        <w:tc>
          <w:tcPr>
            <w:tcW w:w="1800" w:type="dxa"/>
          </w:tcPr>
          <w:p>
            <w:r>
              <w:rPr>
                <w:sz w:val="19"/>
              </w:rPr>
              <w:t>20 nm</w:t>
            </w:r>
          </w:p>
        </w:tc>
        <w:tc>
          <w:tcPr>
            <w:tcW w:w="1440" w:type="dxa"/>
          </w:tcPr>
          <w:p>
            <w:pPr>
              <w:jc w:val="center"/>
            </w:pPr>
            <w:r>
              <w:rPr>
                <w:sz w:val="19"/>
              </w:rPr>
              <w:t>0.672</w:t>
            </w:r>
          </w:p>
        </w:tc>
        <w:tc>
          <w:tcPr>
            <w:tcW w:w="1440" w:type="dxa"/>
          </w:tcPr>
          <w:p>
            <w:pPr>
              <w:jc w:val="center"/>
            </w:pPr>
            <w:r>
              <w:rPr>
                <w:sz w:val="19"/>
              </w:rPr>
              <w:t>0.667</w:t>
            </w:r>
          </w:p>
        </w:tc>
        <w:tc>
          <w:tcPr>
            <w:tcW w:w="1440" w:type="dxa"/>
          </w:tcPr>
          <w:p>
            <w:pPr>
              <w:jc w:val="center"/>
            </w:pPr>
            <w:r>
              <w:rPr>
                <w:sz w:val="19"/>
              </w:rPr>
              <w:t>0.667</w:t>
            </w:r>
          </w:p>
        </w:tc>
        <w:tc>
          <w:tcPr>
            <w:tcW w:w="1440" w:type="dxa"/>
          </w:tcPr>
          <w:p>
            <w:pPr>
              <w:jc w:val="center"/>
            </w:pPr>
            <w:r>
              <w:rPr>
                <w:sz w:val="19"/>
              </w:rPr>
              <w:t>0.668</w:t>
            </w:r>
          </w:p>
        </w:tc>
        <w:tc>
          <w:tcPr>
            <w:tcW w:w="1440" w:type="dxa"/>
          </w:tcPr>
          <w:p>
            <w:pPr>
              <w:jc w:val="center"/>
            </w:pPr>
            <w:r>
              <w:rPr>
                <w:sz w:val="19"/>
              </w:rPr>
              <w:t>0.671</w:t>
            </w:r>
          </w:p>
        </w:tc>
      </w:tr>
      <w:tr>
        <w:tc>
          <w:tcPr>
            <w:shd w:val="clear" w:color="auto" w:fill="F4F6FA"/>
            <w:tcW w:w="1800" w:type="dxa"/>
          </w:tcPr>
          <w:p>
            <w:r>
              <w:rPr>
                <w:b/>
                <w:sz w:val="19"/>
              </w:rPr>
              <w:t>30 nm</w:t>
            </w:r>
          </w:p>
        </w:tc>
        <w:tc>
          <w:tcPr>
            <w:shd w:val="clear" w:color="auto" w:fill="F4F6FA"/>
            <w:tcW w:w="1440" w:type="dxa"/>
          </w:tcPr>
          <w:p>
            <w:pPr>
              <w:jc w:val="center"/>
            </w:pPr>
            <w:r>
              <w:rPr>
                <w:b/>
                <w:sz w:val="19"/>
              </w:rPr>
              <w:t>0.677</w:t>
            </w:r>
          </w:p>
        </w:tc>
        <w:tc>
          <w:tcPr>
            <w:shd w:val="clear" w:color="auto" w:fill="F4F6FA"/>
            <w:tcW w:w="1440" w:type="dxa"/>
          </w:tcPr>
          <w:p>
            <w:pPr>
              <w:jc w:val="center"/>
            </w:pPr>
            <w:r>
              <w:rPr>
                <w:b/>
                <w:sz w:val="19"/>
              </w:rPr>
              <w:t>0.671</w:t>
            </w:r>
          </w:p>
        </w:tc>
        <w:tc>
          <w:tcPr>
            <w:shd w:val="clear" w:color="auto" w:fill="F4F6FA"/>
            <w:tcW w:w="1440" w:type="dxa"/>
          </w:tcPr>
          <w:p>
            <w:pPr>
              <w:jc w:val="center"/>
            </w:pPr>
            <w:r>
              <w:rPr>
                <w:b/>
                <w:sz w:val="19"/>
              </w:rPr>
              <w:t>0.670</w:t>
            </w:r>
          </w:p>
        </w:tc>
        <w:tc>
          <w:tcPr>
            <w:shd w:val="clear" w:color="auto" w:fill="F4F6FA"/>
            <w:tcW w:w="1440" w:type="dxa"/>
          </w:tcPr>
          <w:p>
            <w:pPr>
              <w:jc w:val="center"/>
            </w:pPr>
            <w:r>
              <w:rPr>
                <w:b/>
                <w:sz w:val="19"/>
              </w:rPr>
              <w:t>0.670</w:t>
            </w:r>
          </w:p>
        </w:tc>
        <w:tc>
          <w:tcPr>
            <w:shd w:val="clear" w:color="auto" w:fill="F4F6FA"/>
            <w:tcW w:w="1440" w:type="dxa"/>
          </w:tcPr>
          <w:p>
            <w:pPr>
              <w:jc w:val="center"/>
            </w:pPr>
            <w:r>
              <w:rPr>
                <w:b/>
                <w:sz w:val="19"/>
              </w:rPr>
              <w:t>0.673</w:t>
            </w:r>
          </w:p>
        </w:tc>
      </w:tr>
      <w:tr>
        <w:tc>
          <w:tcPr>
            <w:tcW w:w="1800" w:type="dxa"/>
          </w:tcPr>
          <w:p>
            <w:r>
              <w:rPr>
                <w:sz w:val="19"/>
              </w:rPr>
              <w:t>35 nm</w:t>
            </w:r>
          </w:p>
        </w:tc>
        <w:tc>
          <w:tcPr>
            <w:tcW w:w="1440" w:type="dxa"/>
          </w:tcPr>
          <w:p>
            <w:pPr>
              <w:jc w:val="center"/>
            </w:pPr>
            <w:r>
              <w:rPr>
                <w:sz w:val="19"/>
              </w:rPr>
              <w:t>0.676</w:t>
            </w:r>
          </w:p>
        </w:tc>
        <w:tc>
          <w:tcPr>
            <w:tcW w:w="1440" w:type="dxa"/>
          </w:tcPr>
          <w:p>
            <w:pPr>
              <w:jc w:val="center"/>
            </w:pPr>
            <w:r>
              <w:rPr>
                <w:sz w:val="19"/>
              </w:rPr>
              <w:t>0.670</w:t>
            </w:r>
          </w:p>
        </w:tc>
        <w:tc>
          <w:tcPr>
            <w:tcW w:w="1440" w:type="dxa"/>
          </w:tcPr>
          <w:p>
            <w:pPr>
              <w:jc w:val="center"/>
            </w:pPr>
            <w:r>
              <w:rPr>
                <w:sz w:val="19"/>
              </w:rPr>
              <w:t>0.668</w:t>
            </w:r>
          </w:p>
        </w:tc>
        <w:tc>
          <w:tcPr>
            <w:tcW w:w="1440" w:type="dxa"/>
          </w:tcPr>
          <w:p>
            <w:pPr>
              <w:jc w:val="center"/>
            </w:pPr>
            <w:r>
              <w:rPr>
                <w:sz w:val="19"/>
              </w:rPr>
              <w:t>0.668</w:t>
            </w:r>
          </w:p>
        </w:tc>
        <w:tc>
          <w:tcPr>
            <w:tcW w:w="1440" w:type="dxa"/>
          </w:tcPr>
          <w:p>
            <w:pPr>
              <w:jc w:val="center"/>
            </w:pPr>
            <w:r>
              <w:rPr>
                <w:sz w:val="19"/>
              </w:rPr>
              <w:t>0.670</w:t>
            </w:r>
          </w:p>
        </w:tc>
      </w:tr>
    </w:tbl>
    <w:p/>
    <w:p>
      <w:pPr>
        <w:spacing w:after="40"/>
        <w:jc w:val="center"/>
      </w:pPr>
      <w:r>
        <w:drawing>
          <wp:inline xmlns:a="http://schemas.openxmlformats.org/drawingml/2006/main" xmlns:pic="http://schemas.openxmlformats.org/drawingml/2006/picture">
            <wp:extent cx="5040000" cy="3584000"/>
            <wp:docPr id="2" name="Picture 2"/>
            <wp:cNvGraphicFramePr>
              <a:graphicFrameLocks noChangeAspect="1"/>
            </wp:cNvGraphicFramePr>
            <a:graphic>
              <a:graphicData uri="http://schemas.openxmlformats.org/drawingml/2006/picture">
                <pic:pic>
                  <pic:nvPicPr>
                    <pic:cNvPr id="0" name="pres_STE_map.png"/>
                    <pic:cNvPicPr/>
                  </pic:nvPicPr>
                  <pic:blipFill>
                    <a:blip r:embed="rId10"/>
                    <a:stretch>
                      <a:fillRect/>
                    </a:stretch>
                  </pic:blipFill>
                  <pic:spPr>
                    <a:xfrm>
                      <a:off x="0" y="0"/>
                      <a:ext cx="5040000" cy="3584000"/>
                    </a:xfrm>
                    <a:prstGeom prst="rect"/>
                  </pic:spPr>
                </pic:pic>
              </a:graphicData>
            </a:graphic>
          </wp:inline>
        </w:drawing>
      </w:r>
    </w:p>
    <w:p>
      <w:pPr>
        <w:spacing w:after="200"/>
        <w:jc w:val="center"/>
      </w:pPr>
      <w:r>
        <w:rPr>
          <w:i/>
          <w:color w:val="595959"/>
          <w:sz w:val="18"/>
        </w:rPr>
        <w:t>그림 2. STE 지도 — 등고선이 수평이며, FR이 지배 변수다. 그림 1과 정확히 90도 회전한 형태</w:t>
      </w:r>
    </w:p>
    <w:p>
      <w:pPr>
        <w:spacing w:after="120"/>
      </w:pPr>
      <w:r>
        <w:rPr>
          <w:b w:val="0"/>
          <w:i w:val="0"/>
          <w:sz w:val="21"/>
        </w:rPr>
        <w:t>가로 방향(Ge 조성)으로 읽으면 값이 거의 변하지 않고, 세로 방향(FR)으로 읽으면 크게 변한다. 동일한 데이터를 정규화 여부만 달리해 관찰했을 때 지배 변수가 뒤바뀌며, 두 지도의 등고선 방향이 90도 회전한다.</w:t>
      </w:r>
    </w:p>
    <w:p>
      <w:pPr>
        <w:spacing w:after="120"/>
      </w:pPr>
      <w:r>
        <w:rPr>
          <w:b/>
          <w:i w:val="0"/>
          <w:sz w:val="21"/>
        </w:rPr>
        <w:t xml:space="preserve">해석. </w:t>
      </w:r>
      <w:r>
        <w:rPr>
          <w:b w:val="0"/>
          <w:i w:val="0"/>
          <w:sz w:val="21"/>
        </w:rPr>
        <w:t xml:space="preserve">Ge 조성은 STE의 분자(실제 응력)와 분모(명목 응력)를 </w:t>
      </w:r>
      <w:r>
        <w:rPr>
          <w:b/>
          <w:i w:val="0"/>
          <w:sz w:val="21"/>
        </w:rPr>
        <w:t>동일한 비율로</w:t>
      </w:r>
      <w:r>
        <w:rPr>
          <w:b w:val="0"/>
          <w:i w:val="0"/>
          <w:sz w:val="21"/>
        </w:rPr>
        <w:t xml:space="preserve"> 증가시킨다. 따라서 투입한 만큼 전달될 뿐, 전달 효율 자체는 개선하지 못한다. 전달 효율을 실제로 변화시키는 변수는 FR이며, 0.593에서 0.677로 약 14% 상대 개선한다.</w:t>
      </w:r>
    </w:p>
    <w:tbl>
      <w:tblPr>
        <w:tblW w:type="auto" w:w="0"/>
        <w:jc w:val="center"/>
        <w:tblLook w:firstColumn="1" w:firstRow="1" w:lastColumn="0" w:lastRow="0" w:noHBand="0" w:noVBand="1" w:val="04A0"/>
      </w:tblPr>
      <w:tblGrid>
        <w:gridCol w:w="9412"/>
      </w:tblGrid>
      <w:tr>
        <w:tc>
          <w:tcPr>
            <w:tcW w:type="dxa" w:w="9412"/>
            <w:shd w:val="clear" w:color="auto" w:fill="EEF3FA"/>
            <w:tcW w:w="9000" w:type="dxa"/>
          </w:tcPr>
          <w:p>
            <w:r>
              <w:rPr>
                <w:b/>
                <w:color w:val="1F3864"/>
                <w:sz w:val="21"/>
              </w:rPr>
              <w:t>핵심 결과</w:t>
            </w:r>
          </w:p>
          <w:p>
            <w:r>
              <w:rPr>
                <w:sz w:val="21"/>
              </w:rPr>
              <w:t>응력의 양은 Ge 조성이, 전달 효율은 FR이 결정한다. 두 변수는 대체 관계가 아니라 곱해지는 독립된 인자다 — 실제 채널 응력 = 명목 응력(Ge 조성) × STE(FR).</w:t>
            </w:r>
          </w:p>
        </w:tc>
      </w:tr>
    </w:tbl>
    <w:p/>
    <w:p>
      <w:pPr>
        <w:pStyle w:val="Heading2"/>
        <w:spacing w:before="240" w:after="120"/>
      </w:pPr>
      <w:r>
        <w:rPr>
          <w:color w:val="305496"/>
          <w:sz w:val="26"/>
        </w:rPr>
        <w:t>3.3  FR의 역할과 한계 — 전달 효율의 포화와 정전제어의 상충</w:t>
      </w:r>
    </w:p>
    <w:p>
      <w:pPr>
        <w:spacing w:after="120"/>
      </w:pPr>
      <w:r>
        <w:rPr>
          <w:b w:val="0"/>
          <w:i w:val="0"/>
          <w:sz w:val="21"/>
        </w:rPr>
        <w:t>Ge = 50% 기준 FR 축 거동이며, 나머지 네 Ge 조건에서도 동일한 패턴이 재현된다. 설계창 경계를 보간이 아닌 실측으로 확정하기 위해 FR = 15 nm와 22 nm 두 조건을 추가로 산출했다(음영 표시).</w:t>
      </w:r>
    </w:p>
    <w:tbl>
      <w:tblPr>
        <w:tblStyle w:val="TableGrid"/>
        <w:tblW w:type="auto" w:w="0"/>
        <w:jc w:val="center"/>
        <w:tblLayout w:type="fixed"/>
        <w:tblLook w:firstColumn="1" w:firstRow="1" w:lastColumn="0" w:lastRow="0" w:noHBand="0" w:noVBand="1" w:val="04A0"/>
      </w:tblPr>
      <w:tblGrid>
        <w:gridCol w:w="947"/>
        <w:gridCol w:w="1136"/>
        <w:gridCol w:w="852"/>
        <w:gridCol w:w="1326"/>
        <w:gridCol w:w="1231"/>
        <w:gridCol w:w="947"/>
        <w:gridCol w:w="947"/>
        <w:gridCol w:w="1610"/>
      </w:tblGrid>
      <w:tr>
        <w:tc>
          <w:tcPr>
            <w:shd w:val="clear" w:color="auto" w:fill="305496"/>
            <w:tcW w:w="947" w:type="dxa"/>
          </w:tcPr>
          <w:p>
            <w:pPr>
              <w:jc w:val="center"/>
            </w:pPr>
            <w:r>
              <w:rPr>
                <w:b/>
                <w:color w:val="FFFFFF"/>
                <w:sz w:val="19"/>
              </w:rPr>
              <w:t>FR</w:t>
            </w:r>
          </w:p>
        </w:tc>
        <w:tc>
          <w:tcPr>
            <w:shd w:val="clear" w:color="auto" w:fill="305496"/>
            <w:tcW w:w="1136" w:type="dxa"/>
          </w:tcPr>
          <w:p>
            <w:pPr>
              <w:jc w:val="center"/>
            </w:pPr>
            <w:r>
              <w:rPr>
                <w:b/>
                <w:color w:val="FFFFFF"/>
                <w:sz w:val="19"/>
              </w:rPr>
              <w:t>응력 [GPa]</w:t>
            </w:r>
          </w:p>
        </w:tc>
        <w:tc>
          <w:tcPr>
            <w:shd w:val="clear" w:color="auto" w:fill="305496"/>
            <w:tcW w:w="852" w:type="dxa"/>
          </w:tcPr>
          <w:p>
            <w:pPr>
              <w:jc w:val="center"/>
            </w:pPr>
            <w:r>
              <w:rPr>
                <w:b/>
                <w:color w:val="FFFFFF"/>
                <w:sz w:val="19"/>
              </w:rPr>
              <w:t>STE</w:t>
            </w:r>
          </w:p>
        </w:tc>
        <w:tc>
          <w:tcPr>
            <w:shd w:val="clear" w:color="auto" w:fill="305496"/>
            <w:tcW w:w="1326" w:type="dxa"/>
          </w:tcPr>
          <w:p>
            <w:pPr>
              <w:jc w:val="center"/>
            </w:pPr>
            <w:r>
              <w:rPr>
                <w:b/>
                <w:color w:val="FFFFFF"/>
                <w:sz w:val="19"/>
              </w:rPr>
              <w:t>gmSat [S/µm]</w:t>
            </w:r>
          </w:p>
        </w:tc>
        <w:tc>
          <w:tcPr>
            <w:shd w:val="clear" w:color="auto" w:fill="305496"/>
            <w:tcW w:w="1231" w:type="dxa"/>
          </w:tcPr>
          <w:p>
            <w:pPr>
              <w:jc w:val="center"/>
            </w:pPr>
            <w:r>
              <w:rPr>
                <w:b/>
                <w:color w:val="FFFFFF"/>
                <w:sz w:val="19"/>
              </w:rPr>
              <w:t>IdSat_norm</w:t>
            </w:r>
          </w:p>
        </w:tc>
        <w:tc>
          <w:tcPr>
            <w:shd w:val="clear" w:color="auto" w:fill="305496"/>
            <w:tcW w:w="947" w:type="dxa"/>
          </w:tcPr>
          <w:p>
            <w:pPr>
              <w:jc w:val="center"/>
            </w:pPr>
            <w:r>
              <w:rPr>
                <w:b/>
                <w:color w:val="FFFFFF"/>
                <w:sz w:val="19"/>
              </w:rPr>
              <w:t>SSlin</w:t>
            </w:r>
          </w:p>
        </w:tc>
        <w:tc>
          <w:tcPr>
            <w:shd w:val="clear" w:color="auto" w:fill="305496"/>
            <w:tcW w:w="947" w:type="dxa"/>
          </w:tcPr>
          <w:p>
            <w:pPr>
              <w:jc w:val="center"/>
            </w:pPr>
            <w:r>
              <w:rPr>
                <w:b/>
                <w:color w:val="FFFFFF"/>
                <w:sz w:val="19"/>
              </w:rPr>
              <w:t>DIBL</w:t>
            </w:r>
          </w:p>
        </w:tc>
        <w:tc>
          <w:tcPr>
            <w:shd w:val="clear" w:color="auto" w:fill="305496"/>
            <w:tcW w:w="1610" w:type="dxa"/>
          </w:tcPr>
          <w:p>
            <w:pPr>
              <w:jc w:val="center"/>
            </w:pPr>
            <w:r>
              <w:rPr>
                <w:b/>
                <w:color w:val="FFFFFF"/>
                <w:sz w:val="19"/>
              </w:rPr>
              <w:t>Ioff_norm</w:t>
            </w:r>
          </w:p>
        </w:tc>
      </w:tr>
      <w:tr>
        <w:tc>
          <w:tcPr>
            <w:tcW w:w="947" w:type="dxa"/>
          </w:tcPr>
          <w:p>
            <w:r>
              <w:rPr>
                <w:sz w:val="19"/>
              </w:rPr>
              <w:t>0 nm</w:t>
            </w:r>
          </w:p>
        </w:tc>
        <w:tc>
          <w:tcPr>
            <w:tcW w:w="1136" w:type="dxa"/>
          </w:tcPr>
          <w:p>
            <w:pPr>
              <w:jc w:val="center"/>
            </w:pPr>
            <w:r>
              <w:rPr>
                <w:sz w:val="19"/>
              </w:rPr>
              <w:t>−2.262</w:t>
            </w:r>
          </w:p>
        </w:tc>
        <w:tc>
          <w:tcPr>
            <w:tcW w:w="852" w:type="dxa"/>
          </w:tcPr>
          <w:p>
            <w:pPr>
              <w:jc w:val="center"/>
            </w:pPr>
            <w:r>
              <w:rPr>
                <w:sz w:val="19"/>
              </w:rPr>
              <w:t>0.598</w:t>
            </w:r>
          </w:p>
        </w:tc>
        <w:tc>
          <w:tcPr>
            <w:tcW w:w="1326" w:type="dxa"/>
          </w:tcPr>
          <w:p>
            <w:pPr>
              <w:jc w:val="center"/>
            </w:pPr>
            <w:r>
              <w:rPr>
                <w:sz w:val="19"/>
              </w:rPr>
              <w:t>1.060e−4</w:t>
            </w:r>
          </w:p>
        </w:tc>
        <w:tc>
          <w:tcPr>
            <w:tcW w:w="1231" w:type="dxa"/>
          </w:tcPr>
          <w:p>
            <w:pPr>
              <w:jc w:val="center"/>
            </w:pPr>
            <w:r>
              <w:rPr>
                <w:sz w:val="19"/>
              </w:rPr>
              <w:t>5.57e−4</w:t>
            </w:r>
          </w:p>
        </w:tc>
        <w:tc>
          <w:tcPr>
            <w:tcW w:w="947" w:type="dxa"/>
          </w:tcPr>
          <w:p>
            <w:pPr>
              <w:jc w:val="center"/>
            </w:pPr>
            <w:r>
              <w:rPr>
                <w:sz w:val="19"/>
              </w:rPr>
              <w:t>78.5</w:t>
            </w:r>
          </w:p>
        </w:tc>
        <w:tc>
          <w:tcPr>
            <w:tcW w:w="947" w:type="dxa"/>
          </w:tcPr>
          <w:p>
            <w:pPr>
              <w:jc w:val="center"/>
            </w:pPr>
            <w:r>
              <w:rPr>
                <w:sz w:val="19"/>
              </w:rPr>
              <w:t>78.7</w:t>
            </w:r>
          </w:p>
        </w:tc>
        <w:tc>
          <w:tcPr>
            <w:tcW w:w="1610" w:type="dxa"/>
          </w:tcPr>
          <w:p>
            <w:pPr>
              <w:jc w:val="center"/>
            </w:pPr>
            <w:r>
              <w:rPr>
                <w:sz w:val="19"/>
              </w:rPr>
              <w:t>2.41e−10</w:t>
            </w:r>
          </w:p>
        </w:tc>
      </w:tr>
      <w:tr>
        <w:tc>
          <w:tcPr>
            <w:shd w:val="clear" w:color="auto" w:fill="F4F6FA"/>
            <w:tcW w:w="947" w:type="dxa"/>
          </w:tcPr>
          <w:p>
            <w:r>
              <w:rPr>
                <w:sz w:val="19"/>
              </w:rPr>
              <w:t>10 nm</w:t>
            </w:r>
          </w:p>
        </w:tc>
        <w:tc>
          <w:tcPr>
            <w:shd w:val="clear" w:color="auto" w:fill="F4F6FA"/>
            <w:tcW w:w="1136" w:type="dxa"/>
          </w:tcPr>
          <w:p>
            <w:pPr>
              <w:jc w:val="center"/>
            </w:pPr>
            <w:r>
              <w:rPr>
                <w:sz w:val="19"/>
              </w:rPr>
              <w:t>−2.449</w:t>
            </w:r>
          </w:p>
        </w:tc>
        <w:tc>
          <w:tcPr>
            <w:shd w:val="clear" w:color="auto" w:fill="F4F6FA"/>
            <w:tcW w:w="852" w:type="dxa"/>
          </w:tcPr>
          <w:p>
            <w:pPr>
              <w:jc w:val="center"/>
            </w:pPr>
            <w:r>
              <w:rPr>
                <w:sz w:val="19"/>
              </w:rPr>
              <w:t>0.648</w:t>
            </w:r>
          </w:p>
        </w:tc>
        <w:tc>
          <w:tcPr>
            <w:shd w:val="clear" w:color="auto" w:fill="F4F6FA"/>
            <w:tcW w:w="1326" w:type="dxa"/>
          </w:tcPr>
          <w:p>
            <w:pPr>
              <w:jc w:val="center"/>
            </w:pPr>
            <w:r>
              <w:rPr>
                <w:sz w:val="19"/>
              </w:rPr>
              <w:t>1.128e−4</w:t>
            </w:r>
          </w:p>
        </w:tc>
        <w:tc>
          <w:tcPr>
            <w:shd w:val="clear" w:color="auto" w:fill="F4F6FA"/>
            <w:tcW w:w="1231" w:type="dxa"/>
          </w:tcPr>
          <w:p>
            <w:pPr>
              <w:jc w:val="center"/>
            </w:pPr>
            <w:r>
              <w:rPr>
                <w:sz w:val="19"/>
              </w:rPr>
              <w:t>6.10e−4</w:t>
            </w:r>
          </w:p>
        </w:tc>
        <w:tc>
          <w:tcPr>
            <w:shd w:val="clear" w:color="auto" w:fill="F4F6FA"/>
            <w:tcW w:w="947" w:type="dxa"/>
          </w:tcPr>
          <w:p>
            <w:pPr>
              <w:jc w:val="center"/>
            </w:pPr>
            <w:r>
              <w:rPr>
                <w:sz w:val="19"/>
              </w:rPr>
              <w:t>80.2</w:t>
            </w:r>
          </w:p>
        </w:tc>
        <w:tc>
          <w:tcPr>
            <w:shd w:val="clear" w:color="auto" w:fill="F4F6FA"/>
            <w:tcW w:w="947" w:type="dxa"/>
          </w:tcPr>
          <w:p>
            <w:pPr>
              <w:jc w:val="center"/>
            </w:pPr>
            <w:r>
              <w:rPr>
                <w:sz w:val="19"/>
              </w:rPr>
              <w:t>85.3</w:t>
            </w:r>
          </w:p>
        </w:tc>
        <w:tc>
          <w:tcPr>
            <w:shd w:val="clear" w:color="auto" w:fill="F4F6FA"/>
            <w:tcW w:w="1610" w:type="dxa"/>
          </w:tcPr>
          <w:p>
            <w:pPr>
              <w:jc w:val="center"/>
            </w:pPr>
            <w:r>
              <w:rPr>
                <w:sz w:val="19"/>
              </w:rPr>
              <w:t>3.39e−10</w:t>
            </w:r>
          </w:p>
        </w:tc>
      </w:tr>
      <w:tr>
        <w:tc>
          <w:tcPr>
            <w:tcW w:w="947" w:type="dxa"/>
          </w:tcPr>
          <w:p>
            <w:r>
              <w:rPr>
                <w:b/>
                <w:sz w:val="19"/>
              </w:rPr>
              <w:t>15 nm ★</w:t>
            </w:r>
          </w:p>
        </w:tc>
        <w:tc>
          <w:tcPr>
            <w:tcW w:w="1136" w:type="dxa"/>
          </w:tcPr>
          <w:p>
            <w:pPr>
              <w:jc w:val="center"/>
            </w:pPr>
            <w:r>
              <w:rPr>
                <w:b/>
                <w:sz w:val="19"/>
              </w:rPr>
              <w:t>−2.493</w:t>
            </w:r>
          </w:p>
        </w:tc>
        <w:tc>
          <w:tcPr>
            <w:tcW w:w="852" w:type="dxa"/>
          </w:tcPr>
          <w:p>
            <w:pPr>
              <w:jc w:val="center"/>
            </w:pPr>
            <w:r>
              <w:rPr>
                <w:b/>
                <w:sz w:val="19"/>
              </w:rPr>
              <w:t>0.660</w:t>
            </w:r>
          </w:p>
        </w:tc>
        <w:tc>
          <w:tcPr>
            <w:tcW w:w="1326" w:type="dxa"/>
          </w:tcPr>
          <w:p>
            <w:pPr>
              <w:jc w:val="center"/>
            </w:pPr>
            <w:r>
              <w:rPr>
                <w:b/>
                <w:sz w:val="19"/>
              </w:rPr>
              <w:t>1.143e−4</w:t>
            </w:r>
          </w:p>
        </w:tc>
        <w:tc>
          <w:tcPr>
            <w:tcW w:w="1231" w:type="dxa"/>
          </w:tcPr>
          <w:p>
            <w:pPr>
              <w:jc w:val="center"/>
            </w:pPr>
            <w:r>
              <w:rPr>
                <w:b/>
                <w:sz w:val="19"/>
              </w:rPr>
              <w:t>6.29e−4</w:t>
            </w:r>
          </w:p>
        </w:tc>
        <w:tc>
          <w:tcPr>
            <w:tcW w:w="947" w:type="dxa"/>
          </w:tcPr>
          <w:p>
            <w:pPr>
              <w:jc w:val="center"/>
            </w:pPr>
            <w:r>
              <w:rPr>
                <w:b/>
                <w:sz w:val="19"/>
              </w:rPr>
              <w:t>82.2</w:t>
            </w:r>
          </w:p>
        </w:tc>
        <w:tc>
          <w:tcPr>
            <w:tcW w:w="947" w:type="dxa"/>
          </w:tcPr>
          <w:p>
            <w:pPr>
              <w:jc w:val="center"/>
            </w:pPr>
            <w:r>
              <w:rPr>
                <w:b/>
                <w:sz w:val="19"/>
              </w:rPr>
              <w:t>90.7</w:t>
            </w:r>
          </w:p>
        </w:tc>
        <w:tc>
          <w:tcPr>
            <w:tcW w:w="1610" w:type="dxa"/>
          </w:tcPr>
          <w:p>
            <w:pPr>
              <w:jc w:val="center"/>
            </w:pPr>
            <w:r>
              <w:rPr>
                <w:b/>
                <w:sz w:val="19"/>
              </w:rPr>
              <w:t>5.26e−10</w:t>
            </w:r>
          </w:p>
        </w:tc>
      </w:tr>
      <w:tr>
        <w:tc>
          <w:tcPr>
            <w:shd w:val="clear" w:color="auto" w:fill="F4F6FA"/>
            <w:tcW w:w="947" w:type="dxa"/>
          </w:tcPr>
          <w:p>
            <w:r>
              <w:rPr>
                <w:b/>
                <w:sz w:val="19"/>
              </w:rPr>
              <w:t>20 nm</w:t>
            </w:r>
          </w:p>
        </w:tc>
        <w:tc>
          <w:tcPr>
            <w:shd w:val="clear" w:color="auto" w:fill="F4F6FA"/>
            <w:tcW w:w="1136" w:type="dxa"/>
          </w:tcPr>
          <w:p>
            <w:pPr>
              <w:jc w:val="center"/>
            </w:pPr>
            <w:r>
              <w:rPr>
                <w:b/>
                <w:sz w:val="19"/>
              </w:rPr>
              <w:t>−2.521</w:t>
            </w:r>
          </w:p>
        </w:tc>
        <w:tc>
          <w:tcPr>
            <w:shd w:val="clear" w:color="auto" w:fill="F4F6FA"/>
            <w:tcW w:w="852" w:type="dxa"/>
          </w:tcPr>
          <w:p>
            <w:pPr>
              <w:jc w:val="center"/>
            </w:pPr>
            <w:r>
              <w:rPr>
                <w:b/>
                <w:sz w:val="19"/>
              </w:rPr>
              <w:t>0.667</w:t>
            </w:r>
          </w:p>
        </w:tc>
        <w:tc>
          <w:tcPr>
            <w:shd w:val="clear" w:color="auto" w:fill="F4F6FA"/>
            <w:tcW w:w="1326" w:type="dxa"/>
          </w:tcPr>
          <w:p>
            <w:pPr>
              <w:jc w:val="center"/>
            </w:pPr>
            <w:r>
              <w:rPr>
                <w:b/>
                <w:sz w:val="19"/>
              </w:rPr>
              <w:t>1.149e−4</w:t>
            </w:r>
          </w:p>
        </w:tc>
        <w:tc>
          <w:tcPr>
            <w:shd w:val="clear" w:color="auto" w:fill="F4F6FA"/>
            <w:tcW w:w="1231" w:type="dxa"/>
          </w:tcPr>
          <w:p>
            <w:pPr>
              <w:jc w:val="center"/>
            </w:pPr>
            <w:r>
              <w:rPr>
                <w:b/>
                <w:sz w:val="19"/>
              </w:rPr>
              <w:t>6.41e−4</w:t>
            </w:r>
          </w:p>
        </w:tc>
        <w:tc>
          <w:tcPr>
            <w:shd w:val="clear" w:color="auto" w:fill="F4F6FA"/>
            <w:tcW w:w="947" w:type="dxa"/>
          </w:tcPr>
          <w:p>
            <w:pPr>
              <w:jc w:val="center"/>
            </w:pPr>
            <w:r>
              <w:rPr>
                <w:b/>
                <w:sz w:val="19"/>
              </w:rPr>
              <w:t>84.7</w:t>
            </w:r>
          </w:p>
        </w:tc>
        <w:tc>
          <w:tcPr>
            <w:shd w:val="clear" w:color="auto" w:fill="F4F6FA"/>
            <w:tcW w:w="947" w:type="dxa"/>
          </w:tcPr>
          <w:p>
            <w:pPr>
              <w:jc w:val="center"/>
            </w:pPr>
            <w:r>
              <w:rPr>
                <w:b/>
                <w:sz w:val="19"/>
              </w:rPr>
              <w:t>97.3</w:t>
            </w:r>
          </w:p>
        </w:tc>
        <w:tc>
          <w:tcPr>
            <w:shd w:val="clear" w:color="auto" w:fill="F4F6FA"/>
            <w:tcW w:w="1610" w:type="dxa"/>
          </w:tcPr>
          <w:p>
            <w:pPr>
              <w:jc w:val="center"/>
            </w:pPr>
            <w:r>
              <w:rPr>
                <w:b/>
                <w:sz w:val="19"/>
              </w:rPr>
              <w:t>9.68e−10</w:t>
            </w:r>
          </w:p>
        </w:tc>
      </w:tr>
      <w:tr>
        <w:tc>
          <w:tcPr>
            <w:tcW w:w="947" w:type="dxa"/>
          </w:tcPr>
          <w:p>
            <w:r>
              <w:rPr>
                <w:b/>
                <w:sz w:val="19"/>
              </w:rPr>
              <w:t>22 nm ★</w:t>
            </w:r>
          </w:p>
        </w:tc>
        <w:tc>
          <w:tcPr>
            <w:tcW w:w="1136" w:type="dxa"/>
          </w:tcPr>
          <w:p>
            <w:pPr>
              <w:jc w:val="center"/>
            </w:pPr>
            <w:r>
              <w:rPr>
                <w:b/>
                <w:sz w:val="19"/>
              </w:rPr>
              <w:t>−2.525</w:t>
            </w:r>
          </w:p>
        </w:tc>
        <w:tc>
          <w:tcPr>
            <w:tcW w:w="852" w:type="dxa"/>
          </w:tcPr>
          <w:p>
            <w:pPr>
              <w:jc w:val="center"/>
            </w:pPr>
            <w:r>
              <w:rPr>
                <w:b/>
                <w:sz w:val="19"/>
              </w:rPr>
              <w:t>0.668</w:t>
            </w:r>
          </w:p>
        </w:tc>
        <w:tc>
          <w:tcPr>
            <w:tcW w:w="1326" w:type="dxa"/>
          </w:tcPr>
          <w:p>
            <w:pPr>
              <w:jc w:val="center"/>
            </w:pPr>
            <w:r>
              <w:rPr>
                <w:b/>
                <w:sz w:val="19"/>
              </w:rPr>
              <w:t>1.131e−4</w:t>
            </w:r>
          </w:p>
        </w:tc>
        <w:tc>
          <w:tcPr>
            <w:tcW w:w="1231" w:type="dxa"/>
          </w:tcPr>
          <w:p>
            <w:pPr>
              <w:jc w:val="center"/>
            </w:pPr>
            <w:r>
              <w:rPr>
                <w:b/>
                <w:sz w:val="19"/>
              </w:rPr>
              <w:t>6.37e−4</w:t>
            </w:r>
          </w:p>
        </w:tc>
        <w:tc>
          <w:tcPr>
            <w:tcW w:w="947" w:type="dxa"/>
          </w:tcPr>
          <w:p>
            <w:pPr>
              <w:jc w:val="center"/>
            </w:pPr>
            <w:r>
              <w:rPr>
                <w:b/>
                <w:sz w:val="19"/>
              </w:rPr>
              <w:t>87.5</w:t>
            </w:r>
          </w:p>
        </w:tc>
        <w:tc>
          <w:tcPr>
            <w:tcW w:w="947" w:type="dxa"/>
          </w:tcPr>
          <w:p>
            <w:pPr>
              <w:jc w:val="center"/>
            </w:pPr>
            <w:r>
              <w:rPr>
                <w:b/>
                <w:sz w:val="19"/>
              </w:rPr>
              <w:t>100.0</w:t>
            </w:r>
          </w:p>
        </w:tc>
        <w:tc>
          <w:tcPr>
            <w:tcW w:w="1610" w:type="dxa"/>
          </w:tcPr>
          <w:p>
            <w:pPr>
              <w:jc w:val="center"/>
            </w:pPr>
            <w:r>
              <w:rPr>
                <w:b/>
                <w:sz w:val="19"/>
              </w:rPr>
              <w:t>1.93e−9</w:t>
            </w:r>
          </w:p>
        </w:tc>
      </w:tr>
      <w:tr>
        <w:tc>
          <w:tcPr>
            <w:shd w:val="clear" w:color="auto" w:fill="F4F6FA"/>
            <w:tcW w:w="947" w:type="dxa"/>
          </w:tcPr>
          <w:p>
            <w:r>
              <w:rPr>
                <w:sz w:val="19"/>
              </w:rPr>
              <w:t>30 nm</w:t>
            </w:r>
          </w:p>
        </w:tc>
        <w:tc>
          <w:tcPr>
            <w:shd w:val="clear" w:color="auto" w:fill="F4F6FA"/>
            <w:tcW w:w="1136" w:type="dxa"/>
          </w:tcPr>
          <w:p>
            <w:pPr>
              <w:jc w:val="center"/>
            </w:pPr>
            <w:r>
              <w:rPr>
                <w:sz w:val="19"/>
              </w:rPr>
              <w:t>−2.532</w:t>
            </w:r>
          </w:p>
        </w:tc>
        <w:tc>
          <w:tcPr>
            <w:shd w:val="clear" w:color="auto" w:fill="F4F6FA"/>
            <w:tcW w:w="852" w:type="dxa"/>
          </w:tcPr>
          <w:p>
            <w:pPr>
              <w:jc w:val="center"/>
            </w:pPr>
            <w:r>
              <w:rPr>
                <w:sz w:val="19"/>
              </w:rPr>
              <w:t>0.670</w:t>
            </w:r>
          </w:p>
        </w:tc>
        <w:tc>
          <w:tcPr>
            <w:shd w:val="clear" w:color="auto" w:fill="F4F6FA"/>
            <w:tcW w:w="1326" w:type="dxa"/>
          </w:tcPr>
          <w:p>
            <w:pPr>
              <w:jc w:val="center"/>
            </w:pPr>
            <w:r>
              <w:rPr>
                <w:sz w:val="19"/>
              </w:rPr>
              <w:t>1.134e−4</w:t>
            </w:r>
          </w:p>
        </w:tc>
        <w:tc>
          <w:tcPr>
            <w:shd w:val="clear" w:color="auto" w:fill="F4F6FA"/>
            <w:tcW w:w="1231" w:type="dxa"/>
          </w:tcPr>
          <w:p>
            <w:pPr>
              <w:jc w:val="center"/>
            </w:pPr>
            <w:r>
              <w:rPr>
                <w:sz w:val="19"/>
              </w:rPr>
              <w:t>6.47e−4</w:t>
            </w:r>
          </w:p>
        </w:tc>
        <w:tc>
          <w:tcPr>
            <w:shd w:val="clear" w:color="auto" w:fill="F4F6FA"/>
            <w:tcW w:w="947" w:type="dxa"/>
          </w:tcPr>
          <w:p>
            <w:pPr>
              <w:jc w:val="center"/>
            </w:pPr>
            <w:r>
              <w:rPr>
                <w:sz w:val="19"/>
              </w:rPr>
              <w:t>100.6</w:t>
            </w:r>
          </w:p>
        </w:tc>
        <w:tc>
          <w:tcPr>
            <w:shd w:val="clear" w:color="auto" w:fill="F4F6FA"/>
            <w:tcW w:w="947" w:type="dxa"/>
          </w:tcPr>
          <w:p>
            <w:pPr>
              <w:jc w:val="center"/>
            </w:pPr>
            <w:r>
              <w:rPr>
                <w:sz w:val="19"/>
              </w:rPr>
              <w:t>116.0</w:t>
            </w:r>
          </w:p>
        </w:tc>
        <w:tc>
          <w:tcPr>
            <w:shd w:val="clear" w:color="auto" w:fill="F4F6FA"/>
            <w:tcW w:w="1610" w:type="dxa"/>
          </w:tcPr>
          <w:p>
            <w:pPr>
              <w:jc w:val="center"/>
            </w:pPr>
            <w:r>
              <w:rPr>
                <w:sz w:val="19"/>
              </w:rPr>
              <w:t>2.41e−8</w:t>
            </w:r>
          </w:p>
        </w:tc>
      </w:tr>
      <w:tr>
        <w:tc>
          <w:tcPr>
            <w:tcW w:w="947" w:type="dxa"/>
          </w:tcPr>
          <w:p>
            <w:r>
              <w:rPr>
                <w:sz w:val="19"/>
              </w:rPr>
              <w:t>35 nm</w:t>
            </w:r>
          </w:p>
        </w:tc>
        <w:tc>
          <w:tcPr>
            <w:tcW w:w="1136" w:type="dxa"/>
          </w:tcPr>
          <w:p>
            <w:pPr>
              <w:jc w:val="center"/>
            </w:pPr>
            <w:r>
              <w:rPr>
                <w:sz w:val="19"/>
              </w:rPr>
              <w:t>−2.525</w:t>
            </w:r>
          </w:p>
        </w:tc>
        <w:tc>
          <w:tcPr>
            <w:tcW w:w="852" w:type="dxa"/>
          </w:tcPr>
          <w:p>
            <w:pPr>
              <w:jc w:val="center"/>
            </w:pPr>
            <w:r>
              <w:rPr>
                <w:sz w:val="19"/>
              </w:rPr>
              <w:t>0.668</w:t>
            </w:r>
          </w:p>
        </w:tc>
        <w:tc>
          <w:tcPr>
            <w:tcW w:w="1326" w:type="dxa"/>
          </w:tcPr>
          <w:p>
            <w:pPr>
              <w:jc w:val="center"/>
            </w:pPr>
            <w:r>
              <w:rPr>
                <w:sz w:val="19"/>
              </w:rPr>
              <w:t>1.131e−4</w:t>
            </w:r>
          </w:p>
        </w:tc>
        <w:tc>
          <w:tcPr>
            <w:tcW w:w="1231" w:type="dxa"/>
          </w:tcPr>
          <w:p>
            <w:pPr>
              <w:jc w:val="center"/>
            </w:pPr>
            <w:r>
              <w:rPr>
                <w:sz w:val="19"/>
              </w:rPr>
              <w:t>6.50e−4</w:t>
            </w:r>
          </w:p>
        </w:tc>
        <w:tc>
          <w:tcPr>
            <w:tcW w:w="947" w:type="dxa"/>
          </w:tcPr>
          <w:p>
            <w:pPr>
              <w:jc w:val="center"/>
            </w:pPr>
            <w:r>
              <w:rPr>
                <w:sz w:val="19"/>
              </w:rPr>
              <w:t>112.9</w:t>
            </w:r>
          </w:p>
        </w:tc>
        <w:tc>
          <w:tcPr>
            <w:tcW w:w="947" w:type="dxa"/>
          </w:tcPr>
          <w:p>
            <w:pPr>
              <w:jc w:val="center"/>
            </w:pPr>
            <w:r>
              <w:rPr>
                <w:sz w:val="19"/>
              </w:rPr>
              <w:t>129.3</w:t>
            </w:r>
          </w:p>
        </w:tc>
        <w:tc>
          <w:tcPr>
            <w:tcW w:w="1610" w:type="dxa"/>
          </w:tcPr>
          <w:p>
            <w:pPr>
              <w:jc w:val="center"/>
            </w:pPr>
            <w:r>
              <w:rPr>
                <w:sz w:val="19"/>
              </w:rPr>
              <w:t>1.05e−7</w:t>
            </w:r>
          </w:p>
        </w:tc>
      </w:tr>
    </w:tbl>
    <w:p/>
    <w:p>
      <w:pPr>
        <w:spacing w:after="120"/>
      </w:pPr>
      <w:r>
        <w:rPr>
          <w:b/>
          <w:i w:val="0"/>
          <w:sz w:val="21"/>
        </w:rPr>
        <w:t xml:space="preserve">전달 효율의 포화. </w:t>
      </w:r>
      <w:r>
        <w:rPr>
          <w:b w:val="0"/>
          <w:i w:val="0"/>
          <w:sz w:val="21"/>
        </w:rPr>
        <w:t>STE는 FR 0 → 10 nm 구간에서 0.598 → 0.648로 급상승한 뒤, FR ≈ 20 nm에서 사실상 포화한다(20 ~ 35 nm 구간 변동 0.667 ~ 0.670). 리세스를 처음 10~20 nm 형성하는 것이 결정적이며, 그 이후 추가 이득은 미미하다.</w:t>
      </w:r>
    </w:p>
    <w:p>
      <w:pPr>
        <w:spacing w:after="120"/>
      </w:pPr>
      <w:r>
        <w:rPr>
          <w:b/>
          <w:i w:val="0"/>
          <w:sz w:val="21"/>
        </w:rPr>
        <w:t xml:space="preserve">정전제어의 급격한 악화. </w:t>
      </w:r>
      <w:r>
        <w:rPr>
          <w:b w:val="0"/>
          <w:i w:val="0"/>
          <w:sz w:val="21"/>
        </w:rPr>
        <w:t>동일 구간에서 SSlin은 FR 0 → 20 nm에서 6 mV/dec만 나빠지지만, FR 20 → 35 nm에서는 28 mV/dec 나빠진다. Ioff는 두 자릿수 이상 증가하고 DIBL도 단조 증가한다. 전달 효율이 포화하는 지점과 정전제어가 무너지기 시작하는 지점이 일치한다.</w:t>
      </w:r>
    </w:p>
    <w:p>
      <w:pPr>
        <w:spacing w:after="120"/>
      </w:pPr>
      <w:r>
        <w:rPr>
          <w:b/>
          <w:i w:val="0"/>
          <w:sz w:val="21"/>
        </w:rPr>
        <w:t xml:space="preserve">이득과 대가의 교차점. </w:t>
      </w:r>
      <w:r>
        <w:rPr>
          <w:b w:val="0"/>
          <w:i w:val="0"/>
          <w:sz w:val="21"/>
        </w:rPr>
        <w:t>두 경향의 상대적 크기를 비교하기 위해, 구간별로 nm당 STE 이득을 nm당 SSlin 손실로 나눈 비율을 산출했다.</w:t>
      </w:r>
    </w:p>
    <w:tbl>
      <w:tblPr>
        <w:tblStyle w:val="TableGrid"/>
        <w:tblW w:type="auto" w:w="0"/>
        <w:jc w:val="center"/>
        <w:tblLayout w:type="fixed"/>
        <w:tblLook w:firstColumn="1" w:firstRow="1" w:lastColumn="0" w:lastRow="0" w:noHBand="0" w:noVBand="1" w:val="04A0"/>
      </w:tblPr>
      <w:tblGrid>
        <w:gridCol w:w="2160"/>
        <w:gridCol w:w="2340"/>
        <w:gridCol w:w="2520"/>
        <w:gridCol w:w="1980"/>
      </w:tblGrid>
      <w:tr>
        <w:tc>
          <w:tcPr>
            <w:shd w:val="clear" w:color="auto" w:fill="305496"/>
            <w:tcW w:w="2160" w:type="dxa"/>
          </w:tcPr>
          <w:p>
            <w:pPr>
              <w:jc w:val="center"/>
            </w:pPr>
            <w:r>
              <w:rPr>
                <w:b/>
                <w:color w:val="FFFFFF"/>
                <w:sz w:val="19"/>
              </w:rPr>
              <w:t>구간</w:t>
            </w:r>
          </w:p>
        </w:tc>
        <w:tc>
          <w:tcPr>
            <w:shd w:val="clear" w:color="auto" w:fill="305496"/>
            <w:tcW w:w="2340" w:type="dxa"/>
          </w:tcPr>
          <w:p>
            <w:pPr>
              <w:jc w:val="center"/>
            </w:pPr>
            <w:r>
              <w:rPr>
                <w:b/>
                <w:color w:val="FFFFFF"/>
                <w:sz w:val="19"/>
              </w:rPr>
              <w:t>STE 이득 [10⁻³/nm]</w:t>
            </w:r>
          </w:p>
        </w:tc>
        <w:tc>
          <w:tcPr>
            <w:shd w:val="clear" w:color="auto" w:fill="305496"/>
            <w:tcW w:w="2520" w:type="dxa"/>
          </w:tcPr>
          <w:p>
            <w:pPr>
              <w:jc w:val="center"/>
            </w:pPr>
            <w:r>
              <w:rPr>
                <w:b/>
                <w:color w:val="FFFFFF"/>
                <w:sz w:val="19"/>
              </w:rPr>
              <w:t>SSlin 손실 [mV·dec⁻¹/nm]</w:t>
            </w:r>
          </w:p>
        </w:tc>
        <w:tc>
          <w:tcPr>
            <w:shd w:val="clear" w:color="auto" w:fill="305496"/>
            <w:tcW w:w="1980" w:type="dxa"/>
          </w:tcPr>
          <w:p>
            <w:pPr>
              <w:jc w:val="center"/>
            </w:pPr>
            <w:r>
              <w:rPr>
                <w:b/>
                <w:color w:val="FFFFFF"/>
                <w:sz w:val="19"/>
              </w:rPr>
              <w:t>이득 / 대가 비율</w:t>
            </w:r>
          </w:p>
        </w:tc>
      </w:tr>
      <w:tr>
        <w:tc>
          <w:tcPr>
            <w:tcW w:w="2160" w:type="dxa"/>
          </w:tcPr>
          <w:p>
            <w:r>
              <w:rPr>
                <w:sz w:val="19"/>
              </w:rPr>
              <w:t>FR 0 → 10 nm</w:t>
            </w:r>
          </w:p>
        </w:tc>
        <w:tc>
          <w:tcPr>
            <w:tcW w:w="2340" w:type="dxa"/>
          </w:tcPr>
          <w:p>
            <w:pPr>
              <w:jc w:val="center"/>
            </w:pPr>
            <w:r>
              <w:rPr>
                <w:sz w:val="19"/>
              </w:rPr>
              <w:t>+4.95</w:t>
            </w:r>
          </w:p>
        </w:tc>
        <w:tc>
          <w:tcPr>
            <w:tcW w:w="2520" w:type="dxa"/>
          </w:tcPr>
          <w:p>
            <w:pPr>
              <w:jc w:val="center"/>
            </w:pPr>
            <w:r>
              <w:rPr>
                <w:sz w:val="19"/>
              </w:rPr>
              <w:t>0.165</w:t>
            </w:r>
          </w:p>
        </w:tc>
        <w:tc>
          <w:tcPr>
            <w:tcW w:w="1980" w:type="dxa"/>
          </w:tcPr>
          <w:p>
            <w:pPr>
              <w:jc w:val="center"/>
            </w:pPr>
            <w:r>
              <w:rPr>
                <w:sz w:val="19"/>
              </w:rPr>
              <w:t>30.0</w:t>
            </w:r>
          </w:p>
        </w:tc>
      </w:tr>
      <w:tr>
        <w:tc>
          <w:tcPr>
            <w:shd w:val="clear" w:color="auto" w:fill="F4F6FA"/>
            <w:tcW w:w="2160" w:type="dxa"/>
          </w:tcPr>
          <w:p>
            <w:r>
              <w:rPr>
                <w:sz w:val="19"/>
              </w:rPr>
              <w:t>FR 10 → 15 nm</w:t>
            </w:r>
          </w:p>
        </w:tc>
        <w:tc>
          <w:tcPr>
            <w:shd w:val="clear" w:color="auto" w:fill="F4F6FA"/>
            <w:tcW w:w="2340" w:type="dxa"/>
          </w:tcPr>
          <w:p>
            <w:pPr>
              <w:jc w:val="center"/>
            </w:pPr>
            <w:r>
              <w:rPr>
                <w:sz w:val="19"/>
              </w:rPr>
              <w:t>+2.33</w:t>
            </w:r>
          </w:p>
        </w:tc>
        <w:tc>
          <w:tcPr>
            <w:shd w:val="clear" w:color="auto" w:fill="F4F6FA"/>
            <w:tcW w:w="2520" w:type="dxa"/>
          </w:tcPr>
          <w:p>
            <w:pPr>
              <w:jc w:val="center"/>
            </w:pPr>
            <w:r>
              <w:rPr>
                <w:sz w:val="19"/>
              </w:rPr>
              <w:t>0.400</w:t>
            </w:r>
          </w:p>
        </w:tc>
        <w:tc>
          <w:tcPr>
            <w:shd w:val="clear" w:color="auto" w:fill="F4F6FA"/>
            <w:tcW w:w="1980" w:type="dxa"/>
          </w:tcPr>
          <w:p>
            <w:pPr>
              <w:jc w:val="center"/>
            </w:pPr>
            <w:r>
              <w:rPr>
                <w:sz w:val="19"/>
              </w:rPr>
              <w:t>5.83</w:t>
            </w:r>
          </w:p>
        </w:tc>
      </w:tr>
      <w:tr>
        <w:tc>
          <w:tcPr>
            <w:tcW w:w="2160" w:type="dxa"/>
          </w:tcPr>
          <w:p>
            <w:r>
              <w:rPr>
                <w:b/>
                <w:sz w:val="19"/>
              </w:rPr>
              <w:t>FR 15 → 20 nm</w:t>
            </w:r>
          </w:p>
        </w:tc>
        <w:tc>
          <w:tcPr>
            <w:tcW w:w="2340" w:type="dxa"/>
          </w:tcPr>
          <w:p>
            <w:pPr>
              <w:jc w:val="center"/>
            </w:pPr>
            <w:r>
              <w:rPr>
                <w:b/>
                <w:sz w:val="19"/>
              </w:rPr>
              <w:t>+1.48</w:t>
            </w:r>
          </w:p>
        </w:tc>
        <w:tc>
          <w:tcPr>
            <w:tcW w:w="2520" w:type="dxa"/>
          </w:tcPr>
          <w:p>
            <w:pPr>
              <w:jc w:val="center"/>
            </w:pPr>
            <w:r>
              <w:rPr>
                <w:b/>
                <w:sz w:val="19"/>
              </w:rPr>
              <w:t>0.509</w:t>
            </w:r>
          </w:p>
        </w:tc>
        <w:tc>
          <w:tcPr>
            <w:tcW w:w="1980" w:type="dxa"/>
          </w:tcPr>
          <w:p>
            <w:pPr>
              <w:jc w:val="center"/>
            </w:pPr>
            <w:r>
              <w:rPr>
                <w:b/>
                <w:sz w:val="19"/>
              </w:rPr>
              <w:t>2.91</w:t>
            </w:r>
          </w:p>
        </w:tc>
      </w:tr>
      <w:tr>
        <w:tc>
          <w:tcPr>
            <w:shd w:val="clear" w:color="auto" w:fill="F4F6FA"/>
            <w:tcW w:w="2160" w:type="dxa"/>
          </w:tcPr>
          <w:p>
            <w:r>
              <w:rPr>
                <w:b/>
                <w:sz w:val="19"/>
              </w:rPr>
              <w:t>FR 20 → 22 nm</w:t>
            </w:r>
          </w:p>
        </w:tc>
        <w:tc>
          <w:tcPr>
            <w:shd w:val="clear" w:color="auto" w:fill="F4F6FA"/>
            <w:tcW w:w="2340" w:type="dxa"/>
          </w:tcPr>
          <w:p>
            <w:pPr>
              <w:jc w:val="center"/>
            </w:pPr>
            <w:r>
              <w:rPr>
                <w:b/>
                <w:sz w:val="19"/>
              </w:rPr>
              <w:t>+0.53</w:t>
            </w:r>
          </w:p>
        </w:tc>
        <w:tc>
          <w:tcPr>
            <w:shd w:val="clear" w:color="auto" w:fill="F4F6FA"/>
            <w:tcW w:w="2520" w:type="dxa"/>
          </w:tcPr>
          <w:p>
            <w:pPr>
              <w:jc w:val="center"/>
            </w:pPr>
            <w:r>
              <w:rPr>
                <w:b/>
                <w:sz w:val="19"/>
              </w:rPr>
              <w:t>1.385</w:t>
            </w:r>
          </w:p>
        </w:tc>
        <w:tc>
          <w:tcPr>
            <w:shd w:val="clear" w:color="auto" w:fill="F4F6FA"/>
            <w:tcW w:w="1980" w:type="dxa"/>
          </w:tcPr>
          <w:p>
            <w:pPr>
              <w:jc w:val="center"/>
            </w:pPr>
            <w:r>
              <w:rPr>
                <w:b/>
                <w:sz w:val="19"/>
              </w:rPr>
              <w:t>0.38</w:t>
            </w:r>
          </w:p>
        </w:tc>
      </w:tr>
      <w:tr>
        <w:tc>
          <w:tcPr>
            <w:tcW w:w="2160" w:type="dxa"/>
          </w:tcPr>
          <w:p>
            <w:r>
              <w:rPr>
                <w:sz w:val="19"/>
              </w:rPr>
              <w:t>FR 22 → 30 nm</w:t>
            </w:r>
          </w:p>
        </w:tc>
        <w:tc>
          <w:tcPr>
            <w:tcW w:w="2340" w:type="dxa"/>
          </w:tcPr>
          <w:p>
            <w:pPr>
              <w:jc w:val="center"/>
            </w:pPr>
            <w:r>
              <w:rPr>
                <w:sz w:val="19"/>
              </w:rPr>
              <w:t>+0.23</w:t>
            </w:r>
          </w:p>
        </w:tc>
        <w:tc>
          <w:tcPr>
            <w:tcW w:w="2520" w:type="dxa"/>
          </w:tcPr>
          <w:p>
            <w:pPr>
              <w:jc w:val="center"/>
            </w:pPr>
            <w:r>
              <w:rPr>
                <w:sz w:val="19"/>
              </w:rPr>
              <w:t>1.642</w:t>
            </w:r>
          </w:p>
        </w:tc>
        <w:tc>
          <w:tcPr>
            <w:tcW w:w="1980" w:type="dxa"/>
          </w:tcPr>
          <w:p>
            <w:pPr>
              <w:jc w:val="center"/>
            </w:pPr>
            <w:r>
              <w:rPr>
                <w:sz w:val="19"/>
              </w:rPr>
              <w:t>0.14</w:t>
            </w:r>
          </w:p>
        </w:tc>
      </w:tr>
      <w:tr>
        <w:tc>
          <w:tcPr>
            <w:shd w:val="clear" w:color="auto" w:fill="F4F6FA"/>
            <w:tcW w:w="2160" w:type="dxa"/>
          </w:tcPr>
          <w:p>
            <w:r>
              <w:rPr>
                <w:sz w:val="19"/>
              </w:rPr>
              <w:t>FR 30 → 35 nm</w:t>
            </w:r>
          </w:p>
        </w:tc>
        <w:tc>
          <w:tcPr>
            <w:shd w:val="clear" w:color="auto" w:fill="F4F6FA"/>
            <w:tcW w:w="2340" w:type="dxa"/>
          </w:tcPr>
          <w:p>
            <w:pPr>
              <w:jc w:val="center"/>
            </w:pPr>
            <w:r>
              <w:rPr>
                <w:sz w:val="19"/>
              </w:rPr>
              <w:t>−0.37</w:t>
            </w:r>
          </w:p>
        </w:tc>
        <w:tc>
          <w:tcPr>
            <w:shd w:val="clear" w:color="auto" w:fill="F4F6FA"/>
            <w:tcW w:w="2520" w:type="dxa"/>
          </w:tcPr>
          <w:p>
            <w:pPr>
              <w:jc w:val="center"/>
            </w:pPr>
            <w:r>
              <w:rPr>
                <w:sz w:val="19"/>
              </w:rPr>
              <w:t>2.465</w:t>
            </w:r>
          </w:p>
        </w:tc>
        <w:tc>
          <w:tcPr>
            <w:shd w:val="clear" w:color="auto" w:fill="F4F6FA"/>
            <w:tcW w:w="1980" w:type="dxa"/>
          </w:tcPr>
          <w:p>
            <w:pPr>
              <w:jc w:val="center"/>
            </w:pPr>
            <w:r>
              <w:rPr>
                <w:sz w:val="19"/>
              </w:rPr>
              <w:t>음수 (순손실)</w:t>
            </w:r>
          </w:p>
        </w:tc>
      </w:tr>
    </w:tbl>
    <w:p/>
    <w:p>
      <w:pPr>
        <w:spacing w:after="120"/>
      </w:pPr>
      <w:r>
        <w:rPr>
          <w:b w:val="0"/>
          <w:i w:val="0"/>
          <w:sz w:val="21"/>
        </w:rPr>
        <w:t>비율은 FR = 20 nm를 경계로 2.91에서 0.38로 약 7.6배 급락한다. 즉 전달 효율의 한계 이득이 정전제어의 한계 손실보다 커지는 구간은 FR ≈ 20 nm까지이며, 그 이후는 역전된다. gmSat 역시 FR = 20 nm에서 최댓값(1.149 × 10⁻⁴)을 기록하고 22 nm에서 감소하여, 이동도 관점에서도 동일한 경계를 가리킨다.</w:t>
      </w:r>
    </w:p>
    <w:p>
      <w:pPr>
        <w:spacing w:after="120"/>
      </w:pPr>
      <w:r>
        <w:rPr>
          <w:b/>
          <w:i w:val="0"/>
          <w:sz w:val="21"/>
        </w:rPr>
        <w:t xml:space="preserve">이동도와 구동전류의 분리. </w:t>
      </w:r>
      <w:r>
        <w:rPr>
          <w:b w:val="0"/>
          <w:i w:val="0"/>
          <w:sz w:val="21"/>
        </w:rPr>
        <w:t>gmSat은 FR = 20 nm에서 피크를 형성한 뒤 정체하는 반면, IdSat_norm은 FR = 35 nm까지 계속 상승한다. 이 차이는 이동도 개선이 아니라 문턱전압 롤오프에 의한 오버드라이브 증가에서 기인한다. DIBL이 78.7 → 129.3 mV/V로 단조 증가하는 것이 이를 뒷받침한다 — 드레인이 채널 장벽을 낮추고, 문턱전압이 감소하며, 오버드라이브가 커져 전류가 상승한다. 따라서 FR 30 ~ 35 nm 구간의 전류 상승을 응력 효과로 귀속시키면 과대평가가 된다.</w:t>
      </w:r>
    </w:p>
    <w:p>
      <w:pPr>
        <w:pStyle w:val="Heading3"/>
        <w:spacing w:before="200" w:after="80"/>
      </w:pPr>
      <w:r>
        <w:rPr>
          <w:color w:val="305496"/>
          <w:sz w:val="23"/>
        </w:rPr>
        <w:t>열화의 기원 — 형상 효과와 응력 효과의 분리</w:t>
      </w:r>
    </w:p>
    <w:p>
      <w:pPr>
        <w:spacing w:after="120"/>
      </w:pPr>
      <w:r>
        <w:rPr>
          <w:b w:val="0"/>
          <w:i w:val="0"/>
          <w:sz w:val="21"/>
        </w:rPr>
        <w:t>FR 축에서 나타나는 정전제어 열화가 형상 변화에 의한 것인지, 응력의 전기적 부작용에 의한 것인지 판별하기 위해, 응력의 전기적 결합만 비활성화한 조건에서 동일한 FR 스윕을 재수행해 비교했다.</w:t>
      </w:r>
    </w:p>
    <w:tbl>
      <w:tblPr>
        <w:tblStyle w:val="TableGrid"/>
        <w:tblW w:type="auto" w:w="0"/>
        <w:jc w:val="center"/>
        <w:tblLayout w:type="fixed"/>
        <w:tblLook w:firstColumn="1" w:firstRow="1" w:lastColumn="0" w:lastRow="0" w:noHBand="0" w:noVBand="1" w:val="04A0"/>
      </w:tblPr>
      <w:tblGrid>
        <w:gridCol w:w="2160"/>
        <w:gridCol w:w="3420"/>
        <w:gridCol w:w="3420"/>
      </w:tblGrid>
      <w:tr>
        <w:tc>
          <w:tcPr>
            <w:shd w:val="clear" w:color="auto" w:fill="305496"/>
            <w:tcW w:w="2160" w:type="dxa"/>
          </w:tcPr>
          <w:p>
            <w:pPr>
              <w:jc w:val="center"/>
            </w:pPr>
            <w:r>
              <w:rPr>
                <w:b/>
                <w:color w:val="FFFFFF"/>
                <w:sz w:val="19"/>
              </w:rPr>
              <w:t>지표</w:t>
            </w:r>
          </w:p>
        </w:tc>
        <w:tc>
          <w:tcPr>
            <w:shd w:val="clear" w:color="auto" w:fill="305496"/>
            <w:tcW w:w="3420" w:type="dxa"/>
          </w:tcPr>
          <w:p>
            <w:pPr>
              <w:jc w:val="center"/>
            </w:pPr>
            <w:r>
              <w:rPr>
                <w:b/>
                <w:color w:val="FFFFFF"/>
                <w:sz w:val="19"/>
              </w:rPr>
              <w:t>응력 결합 ON (FR 0 → 35 nm)</w:t>
            </w:r>
          </w:p>
        </w:tc>
        <w:tc>
          <w:tcPr>
            <w:shd w:val="clear" w:color="auto" w:fill="305496"/>
            <w:tcW w:w="3420" w:type="dxa"/>
          </w:tcPr>
          <w:p>
            <w:pPr>
              <w:jc w:val="center"/>
            </w:pPr>
            <w:r>
              <w:rPr>
                <w:b/>
                <w:color w:val="FFFFFF"/>
                <w:sz w:val="19"/>
              </w:rPr>
              <w:t>응력 결합 OFF (FR 0 → 35 nm)</w:t>
            </w:r>
          </w:p>
        </w:tc>
      </w:tr>
      <w:tr>
        <w:tc>
          <w:tcPr>
            <w:tcW w:w="2160" w:type="dxa"/>
          </w:tcPr>
          <w:p>
            <w:r>
              <w:rPr>
                <w:sz w:val="19"/>
              </w:rPr>
              <w:t>SSlin</w:t>
            </w:r>
          </w:p>
        </w:tc>
        <w:tc>
          <w:tcPr>
            <w:tcW w:w="3420" w:type="dxa"/>
          </w:tcPr>
          <w:p>
            <w:pPr>
              <w:jc w:val="center"/>
            </w:pPr>
            <w:r>
              <w:rPr>
                <w:sz w:val="19"/>
              </w:rPr>
              <w:t>+44%</w:t>
            </w:r>
          </w:p>
        </w:tc>
        <w:tc>
          <w:tcPr>
            <w:tcW w:w="3420" w:type="dxa"/>
          </w:tcPr>
          <w:p>
            <w:pPr>
              <w:jc w:val="center"/>
            </w:pPr>
            <w:r>
              <w:rPr>
                <w:sz w:val="19"/>
              </w:rPr>
              <w:t>+31%</w:t>
            </w:r>
          </w:p>
        </w:tc>
      </w:tr>
      <w:tr>
        <w:tc>
          <w:tcPr>
            <w:shd w:val="clear" w:color="auto" w:fill="F4F6FA"/>
            <w:tcW w:w="2160" w:type="dxa"/>
          </w:tcPr>
          <w:p>
            <w:r>
              <w:rPr>
                <w:sz w:val="19"/>
              </w:rPr>
              <w:t>DIBL</w:t>
            </w:r>
          </w:p>
        </w:tc>
        <w:tc>
          <w:tcPr>
            <w:shd w:val="clear" w:color="auto" w:fill="F4F6FA"/>
            <w:tcW w:w="3420" w:type="dxa"/>
          </w:tcPr>
          <w:p>
            <w:pPr>
              <w:jc w:val="center"/>
            </w:pPr>
            <w:r>
              <w:rPr>
                <w:sz w:val="19"/>
              </w:rPr>
              <w:t>+64%</w:t>
            </w:r>
          </w:p>
        </w:tc>
        <w:tc>
          <w:tcPr>
            <w:shd w:val="clear" w:color="auto" w:fill="F4F6FA"/>
            <w:tcW w:w="3420" w:type="dxa"/>
          </w:tcPr>
          <w:p>
            <w:pPr>
              <w:jc w:val="center"/>
            </w:pPr>
            <w:r>
              <w:rPr>
                <w:sz w:val="19"/>
              </w:rPr>
              <w:t>+21%</w:t>
            </w:r>
          </w:p>
        </w:tc>
      </w:tr>
      <w:tr>
        <w:tc>
          <w:tcPr>
            <w:tcW w:w="2160" w:type="dxa"/>
          </w:tcPr>
          <w:p>
            <w:r>
              <w:rPr>
                <w:sz w:val="19"/>
              </w:rPr>
              <w:t>Ioff_norm</w:t>
            </w:r>
          </w:p>
        </w:tc>
        <w:tc>
          <w:tcPr>
            <w:tcW w:w="3420" w:type="dxa"/>
          </w:tcPr>
          <w:p>
            <w:pPr>
              <w:jc w:val="center"/>
            </w:pPr>
            <w:r>
              <w:rPr>
                <w:sz w:val="19"/>
              </w:rPr>
              <w:t>+43,497%</w:t>
            </w:r>
          </w:p>
        </w:tc>
        <w:tc>
          <w:tcPr>
            <w:tcW w:w="3420" w:type="dxa"/>
          </w:tcPr>
          <w:p>
            <w:pPr>
              <w:jc w:val="center"/>
            </w:pPr>
            <w:r>
              <w:rPr>
                <w:sz w:val="19"/>
              </w:rPr>
              <w:t>+4,136%</w:t>
            </w:r>
          </w:p>
        </w:tc>
      </w:tr>
      <w:tr>
        <w:tc>
          <w:tcPr>
            <w:shd w:val="clear" w:color="auto" w:fill="F4F6FA"/>
            <w:tcW w:w="2160" w:type="dxa"/>
          </w:tcPr>
          <w:p>
            <w:r>
              <w:rPr>
                <w:sz w:val="19"/>
              </w:rPr>
              <w:t>IdSat_norm</w:t>
            </w:r>
          </w:p>
        </w:tc>
        <w:tc>
          <w:tcPr>
            <w:shd w:val="clear" w:color="auto" w:fill="F4F6FA"/>
            <w:tcW w:w="3420" w:type="dxa"/>
          </w:tcPr>
          <w:p>
            <w:pPr>
              <w:jc w:val="center"/>
            </w:pPr>
            <w:r>
              <w:rPr>
                <w:sz w:val="19"/>
              </w:rPr>
              <w:t>+17%</w:t>
            </w:r>
          </w:p>
        </w:tc>
        <w:tc>
          <w:tcPr>
            <w:shd w:val="clear" w:color="auto" w:fill="F4F6FA"/>
            <w:tcW w:w="3420" w:type="dxa"/>
          </w:tcPr>
          <w:p>
            <w:pPr>
              <w:jc w:val="center"/>
            </w:pPr>
            <w:r>
              <w:rPr>
                <w:sz w:val="19"/>
              </w:rPr>
              <w:t>+14%</w:t>
            </w:r>
          </w:p>
        </w:tc>
      </w:tr>
    </w:tbl>
    <w:p/>
    <w:p>
      <w:pPr>
        <w:spacing w:after="40"/>
        <w:jc w:val="center"/>
      </w:pPr>
      <w:r>
        <w:drawing>
          <wp:inline xmlns:a="http://schemas.openxmlformats.org/drawingml/2006/main" xmlns:pic="http://schemas.openxmlformats.org/drawingml/2006/picture">
            <wp:extent cx="5040000" cy="3665455"/>
            <wp:docPr id="3" name="Picture 3"/>
            <wp:cNvGraphicFramePr>
              <a:graphicFrameLocks noChangeAspect="1"/>
            </wp:cNvGraphicFramePr>
            <a:graphic>
              <a:graphicData uri="http://schemas.openxmlformats.org/drawingml/2006/picture">
                <pic:pic>
                  <pic:nvPicPr>
                    <pic:cNvPr id="0" name="verify_strain_impact_FRsweep.png"/>
                    <pic:cNvPicPr/>
                  </pic:nvPicPr>
                  <pic:blipFill>
                    <a:blip r:embed="rId11"/>
                    <a:stretch>
                      <a:fillRect/>
                    </a:stretch>
                  </pic:blipFill>
                  <pic:spPr>
                    <a:xfrm>
                      <a:off x="0" y="0"/>
                      <a:ext cx="5040000" cy="3665455"/>
                    </a:xfrm>
                    <a:prstGeom prst="rect"/>
                  </pic:spPr>
                </pic:pic>
              </a:graphicData>
            </a:graphic>
          </wp:inline>
        </w:drawing>
      </w:r>
    </w:p>
    <w:p>
      <w:pPr>
        <w:spacing w:after="200"/>
        <w:jc w:val="center"/>
      </w:pPr>
      <w:r>
        <w:rPr>
          <w:i/>
          <w:color w:val="595959"/>
          <w:sz w:val="18"/>
        </w:rPr>
        <w:t>그림 3. 응력 결합 ON/OFF 비교 (Ge = 50%) — 응력을 배제해도 FR 축 열화가 재현된다</w:t>
      </w:r>
    </w:p>
    <w:p>
      <w:pPr>
        <w:spacing w:after="120"/>
      </w:pPr>
      <w:r>
        <w:rPr>
          <w:b w:val="0"/>
          <w:i w:val="0"/>
          <w:sz w:val="21"/>
        </w:rPr>
        <w:t xml:space="preserve">응력을 배제해도 열화가 재현되므로 </w:t>
      </w:r>
      <w:r>
        <w:rPr>
          <w:b/>
          <w:i w:val="0"/>
          <w:sz w:val="21"/>
        </w:rPr>
        <w:t>형상 변화가 주된 원인</w:t>
      </w:r>
      <w:r>
        <w:rPr>
          <w:b w:val="0"/>
          <w:i w:val="0"/>
          <w:sz w:val="21"/>
        </w:rPr>
        <w:t xml:space="preserve">임이 확인된다. 리세스 식각이 깊어지면 채널 하부의 관통 방지 도핑층이 함께 제거되고, 그 자리를 고농도 p형 SiGe가 채워 게이트 하부에 소스–드레인 관통 경로가 형성되기 때문이다. 다만 응력이 결합된 조건에서 열화 폭이 더 크며, 특히 누설은 10배 이상 차이가 난다. 이는 밴드갭 축소에 의한 BTBT가 관통 경로의 누설을 추가로 증폭하는 2차 효과로 해석된다. 정리하면 </w:t>
      </w:r>
      <w:r>
        <w:rPr>
          <w:b/>
          <w:i w:val="0"/>
          <w:sz w:val="21"/>
        </w:rPr>
        <w:t>형상이 관통 경로를 열고, 응력이 그 경로의 누설 크기를 키우는</w:t>
      </w:r>
      <w:r>
        <w:rPr>
          <w:b w:val="0"/>
          <w:i w:val="0"/>
          <w:sz w:val="21"/>
        </w:rPr>
        <w:t xml:space="preserve"> 2단 구조다.</w:t>
      </w:r>
    </w:p>
    <w:p>
      <w:pPr>
        <w:pStyle w:val="Heading2"/>
        <w:spacing w:before="240" w:after="120"/>
      </w:pPr>
      <w:r>
        <w:rPr>
          <w:color w:val="305496"/>
          <w:sz w:val="26"/>
        </w:rPr>
        <w:t>3.4  실용적 공정 마진 도출</w:t>
      </w:r>
    </w:p>
    <w:p>
      <w:pPr>
        <w:spacing w:after="120"/>
      </w:pPr>
      <w:r>
        <w:rPr>
          <w:b w:val="0"/>
          <w:i w:val="0"/>
          <w:sz w:val="21"/>
        </w:rPr>
        <w:t>전달 효율만 고려하면 리세스를 깊게 형성하는 것이 유리하나, 정전제어와 누설을 함께 고려하면 그렇지 않다. 포화 지점을 넘어선 구간의 손익은 다음과 같다.</w:t>
      </w:r>
    </w:p>
    <w:tbl>
      <w:tblPr>
        <w:tblStyle w:val="TableGrid"/>
        <w:tblW w:type="auto" w:w="0"/>
        <w:jc w:val="center"/>
        <w:tblLayout w:type="fixed"/>
        <w:tblLook w:firstColumn="1" w:firstRow="1" w:lastColumn="0" w:lastRow="0" w:noHBand="0" w:noVBand="1" w:val="04A0"/>
      </w:tblPr>
      <w:tblGrid>
        <w:gridCol w:w="1440"/>
        <w:gridCol w:w="3780"/>
        <w:gridCol w:w="3780"/>
      </w:tblGrid>
      <w:tr>
        <w:tc>
          <w:tcPr>
            <w:shd w:val="clear" w:color="auto" w:fill="305496"/>
            <w:tcW w:w="1440" w:type="dxa"/>
          </w:tcPr>
          <w:p>
            <w:pPr>
              <w:jc w:val="center"/>
            </w:pPr>
            <w:r>
              <w:rPr>
                <w:b/>
                <w:color w:val="FFFFFF"/>
                <w:sz w:val="19"/>
              </w:rPr>
              <w:t>지표</w:t>
            </w:r>
          </w:p>
        </w:tc>
        <w:tc>
          <w:tcPr>
            <w:shd w:val="clear" w:color="auto" w:fill="305496"/>
            <w:tcW w:w="3780" w:type="dxa"/>
          </w:tcPr>
          <w:p>
            <w:pPr>
              <w:jc w:val="center"/>
            </w:pPr>
            <w:r>
              <w:rPr>
                <w:b/>
                <w:color w:val="FFFFFF"/>
                <w:sz w:val="19"/>
              </w:rPr>
              <w:t>FR 20 → 22 nm 변화</w:t>
            </w:r>
          </w:p>
        </w:tc>
        <w:tc>
          <w:tcPr>
            <w:shd w:val="clear" w:color="auto" w:fill="305496"/>
            <w:tcW w:w="3780" w:type="dxa"/>
          </w:tcPr>
          <w:p>
            <w:pPr>
              <w:jc w:val="center"/>
            </w:pPr>
            <w:r>
              <w:rPr>
                <w:b/>
                <w:color w:val="FFFFFF"/>
                <w:sz w:val="19"/>
              </w:rPr>
              <w:t>FR 20 → 30 nm 변화</w:t>
            </w:r>
          </w:p>
        </w:tc>
      </w:tr>
      <w:tr>
        <w:tc>
          <w:tcPr>
            <w:tcW w:w="1440" w:type="dxa"/>
          </w:tcPr>
          <w:p>
            <w:r>
              <w:rPr>
                <w:sz w:val="19"/>
              </w:rPr>
              <w:t>STE</w:t>
            </w:r>
          </w:p>
        </w:tc>
        <w:tc>
          <w:tcPr>
            <w:tcW w:w="3780" w:type="dxa"/>
          </w:tcPr>
          <w:p>
            <w:pPr>
              <w:jc w:val="center"/>
            </w:pPr>
            <w:r>
              <w:rPr>
                <w:sz w:val="19"/>
              </w:rPr>
              <w:t>0.6669 → 0.6680  (+0.16%)</w:t>
            </w:r>
          </w:p>
        </w:tc>
        <w:tc>
          <w:tcPr>
            <w:tcW w:w="3780" w:type="dxa"/>
          </w:tcPr>
          <w:p>
            <w:pPr>
              <w:jc w:val="center"/>
            </w:pPr>
            <w:r>
              <w:rPr>
                <w:sz w:val="19"/>
              </w:rPr>
              <w:t>0.6669 → 0.6698  (+0.4%)</w:t>
            </w:r>
          </w:p>
        </w:tc>
      </w:tr>
      <w:tr>
        <w:tc>
          <w:tcPr>
            <w:shd w:val="clear" w:color="auto" w:fill="F4F6FA"/>
            <w:tcW w:w="1440" w:type="dxa"/>
          </w:tcPr>
          <w:p>
            <w:r>
              <w:rPr>
                <w:sz w:val="19"/>
              </w:rPr>
              <w:t>SSlin</w:t>
            </w:r>
          </w:p>
        </w:tc>
        <w:tc>
          <w:tcPr>
            <w:shd w:val="clear" w:color="auto" w:fill="F4F6FA"/>
            <w:tcW w:w="3780" w:type="dxa"/>
          </w:tcPr>
          <w:p>
            <w:pPr>
              <w:jc w:val="center"/>
            </w:pPr>
            <w:r>
              <w:rPr>
                <w:sz w:val="19"/>
              </w:rPr>
              <w:t>84.7 → 87.5 mV/dec  (+3.3%)</w:t>
            </w:r>
          </w:p>
        </w:tc>
        <w:tc>
          <w:tcPr>
            <w:shd w:val="clear" w:color="auto" w:fill="F4F6FA"/>
            <w:tcW w:w="3780" w:type="dxa"/>
          </w:tcPr>
          <w:p>
            <w:pPr>
              <w:jc w:val="center"/>
            </w:pPr>
            <w:r>
              <w:rPr>
                <w:sz w:val="19"/>
              </w:rPr>
              <w:t>84.7 → 100.6 mV/dec  (+19%)</w:t>
            </w:r>
          </w:p>
        </w:tc>
      </w:tr>
      <w:tr>
        <w:tc>
          <w:tcPr>
            <w:tcW w:w="1440" w:type="dxa"/>
          </w:tcPr>
          <w:p>
            <w:r>
              <w:rPr>
                <w:sz w:val="19"/>
              </w:rPr>
              <w:t>DIBL</w:t>
            </w:r>
          </w:p>
        </w:tc>
        <w:tc>
          <w:tcPr>
            <w:tcW w:w="3780" w:type="dxa"/>
          </w:tcPr>
          <w:p>
            <w:pPr>
              <w:jc w:val="center"/>
            </w:pPr>
            <w:r>
              <w:rPr>
                <w:sz w:val="19"/>
              </w:rPr>
              <w:t>97.3 → 100.0 mV/V  (+2.8%)</w:t>
            </w:r>
          </w:p>
        </w:tc>
        <w:tc>
          <w:tcPr>
            <w:tcW w:w="3780" w:type="dxa"/>
          </w:tcPr>
          <w:p>
            <w:pPr>
              <w:jc w:val="center"/>
            </w:pPr>
            <w:r>
              <w:rPr>
                <w:sz w:val="19"/>
              </w:rPr>
              <w:t>97.3 → 116.0 mV/V  (+19%)</w:t>
            </w:r>
          </w:p>
        </w:tc>
      </w:tr>
      <w:tr>
        <w:tc>
          <w:tcPr>
            <w:shd w:val="clear" w:color="auto" w:fill="F4F6FA"/>
            <w:tcW w:w="1440" w:type="dxa"/>
          </w:tcPr>
          <w:p>
            <w:r>
              <w:rPr>
                <w:sz w:val="19"/>
              </w:rPr>
              <w:t>Ioff_norm</w:t>
            </w:r>
          </w:p>
        </w:tc>
        <w:tc>
          <w:tcPr>
            <w:shd w:val="clear" w:color="auto" w:fill="F4F6FA"/>
            <w:tcW w:w="3780" w:type="dxa"/>
          </w:tcPr>
          <w:p>
            <w:pPr>
              <w:jc w:val="center"/>
            </w:pPr>
            <w:r>
              <w:rPr>
                <w:sz w:val="19"/>
              </w:rPr>
              <w:t>9.68e−10 → 1.93e−9  (약 2배)</w:t>
            </w:r>
          </w:p>
        </w:tc>
        <w:tc>
          <w:tcPr>
            <w:shd w:val="clear" w:color="auto" w:fill="F4F6FA"/>
            <w:tcW w:w="3780" w:type="dxa"/>
          </w:tcPr>
          <w:p>
            <w:pPr>
              <w:jc w:val="center"/>
            </w:pPr>
            <w:r>
              <w:rPr>
                <w:sz w:val="19"/>
              </w:rPr>
              <w:t>9.68e−10 → 2.41e−8  (약 25배)</w:t>
            </w:r>
          </w:p>
        </w:tc>
      </w:tr>
      <w:tr>
        <w:tc>
          <w:tcPr>
            <w:tcW w:w="1440" w:type="dxa"/>
          </w:tcPr>
          <w:p>
            <w:r>
              <w:rPr>
                <w:sz w:val="19"/>
              </w:rPr>
              <w:t>gmSat</w:t>
            </w:r>
          </w:p>
        </w:tc>
        <w:tc>
          <w:tcPr>
            <w:tcW w:w="3780" w:type="dxa"/>
          </w:tcPr>
          <w:p>
            <w:pPr>
              <w:jc w:val="center"/>
            </w:pPr>
            <w:r>
              <w:rPr>
                <w:sz w:val="19"/>
              </w:rPr>
              <w:t>1.149e−4 → 1.131e−4  (감소)</w:t>
            </w:r>
          </w:p>
        </w:tc>
        <w:tc>
          <w:tcPr>
            <w:tcW w:w="3780" w:type="dxa"/>
          </w:tcPr>
          <w:p>
            <w:pPr>
              <w:jc w:val="center"/>
            </w:pPr>
            <w:r>
              <w:rPr>
                <w:sz w:val="19"/>
              </w:rPr>
              <w:t>1.149e−4 → 1.134e−4  (감소)</w:t>
            </w:r>
          </w:p>
        </w:tc>
      </w:tr>
    </w:tbl>
    <w:p/>
    <w:p>
      <w:pPr>
        <w:spacing w:after="40"/>
        <w:jc w:val="center"/>
      </w:pPr>
      <w:r>
        <w:drawing>
          <wp:inline xmlns:a="http://schemas.openxmlformats.org/drawingml/2006/main" xmlns:pic="http://schemas.openxmlformats.org/drawingml/2006/picture">
            <wp:extent cx="5040000" cy="3538723"/>
            <wp:docPr id="4" name="Picture 4"/>
            <wp:cNvGraphicFramePr>
              <a:graphicFrameLocks noChangeAspect="1"/>
            </wp:cNvGraphicFramePr>
            <a:graphic>
              <a:graphicData uri="http://schemas.openxmlformats.org/drawingml/2006/picture">
                <pic:pic>
                  <pic:nvPicPr>
                    <pic:cNvPr id="0" name="pres_tradeoff_overlay.png"/>
                    <pic:cNvPicPr/>
                  </pic:nvPicPr>
                  <pic:blipFill>
                    <a:blip r:embed="rId12"/>
                    <a:stretch>
                      <a:fillRect/>
                    </a:stretch>
                  </pic:blipFill>
                  <pic:spPr>
                    <a:xfrm>
                      <a:off x="0" y="0"/>
                      <a:ext cx="5040000" cy="3538723"/>
                    </a:xfrm>
                    <a:prstGeom prst="rect"/>
                  </pic:spPr>
                </pic:pic>
              </a:graphicData>
            </a:graphic>
          </wp:inline>
        </w:drawing>
      </w:r>
    </w:p>
    <w:p>
      <w:pPr>
        <w:spacing w:after="200"/>
        <w:jc w:val="center"/>
      </w:pPr>
      <w:r>
        <w:rPr>
          <w:i/>
          <w:color w:val="595959"/>
          <w:sz w:val="18"/>
        </w:rPr>
        <w:t>그림 4. 전달 효율(색)과 정전제어(붉은 점선)의 상충 — 흰 띠가 실용 최적 구간</w:t>
      </w:r>
    </w:p>
    <w:tbl>
      <w:tblPr>
        <w:tblW w:type="auto" w:w="0"/>
        <w:jc w:val="center"/>
        <w:tblLook w:firstColumn="1" w:firstRow="1" w:lastColumn="0" w:lastRow="0" w:noHBand="0" w:noVBand="1" w:val="04A0"/>
      </w:tblPr>
      <w:tblGrid>
        <w:gridCol w:w="9412"/>
      </w:tblGrid>
      <w:tr>
        <w:tc>
          <w:tcPr>
            <w:tcW w:type="dxa" w:w="9412"/>
            <w:shd w:val="clear" w:color="auto" w:fill="EEF3FA"/>
            <w:tcW w:w="9000" w:type="dxa"/>
          </w:tcPr>
          <w:p>
            <w:r>
              <w:rPr>
                <w:b/>
                <w:color w:val="1F3864"/>
                <w:sz w:val="21"/>
              </w:rPr>
              <w:t>실용 설계창: FR ≈ 15 ~ 20 nm</w:t>
            </w:r>
          </w:p>
          <w:p>
            <w:r>
              <w:rPr>
                <w:sz w:val="21"/>
              </w:rPr>
              <w:t>이 구간에서 STE는 최댓값의 98.5 ~ 99.6% 수준에 도달하는 반면, SSlin은 82.2 ~ 84.7 mV/dec에 머물고 누설(Ioff_norm)은 10⁻⁹ 미만으로 유지된다. 상한 20 nm는 이득/대가 비율이 역전되는 지점이며, 누설이 10⁻⁹를 넘어서는 경계(FR = 22 nm에서 1.93 × 10⁻⁹)와도 일치한다.</w:t>
            </w:r>
          </w:p>
        </w:tc>
      </w:tr>
    </w:tbl>
    <w:p/>
    <w:p>
      <w:pPr>
        <w:spacing w:after="120"/>
      </w:pPr>
      <w:r>
        <w:rPr>
          <w:b/>
          <w:i w:val="0"/>
          <w:sz w:val="21"/>
        </w:rPr>
        <w:t xml:space="preserve">응력 최댓값 지점은 최적 설계점이 아니다. </w:t>
      </w:r>
      <w:r>
        <w:rPr>
          <w:b w:val="0"/>
          <w:i w:val="0"/>
          <w:sz w:val="21"/>
        </w:rPr>
        <w:t>절대 응력의 최댓값은 Ge 70% · FR 30 nm 조건(−3.560 GPa)이지만, 이 지점은 이미 정전제어가 악화되는 구간에 속하며 FR = 20 nm 대비 STE 이득은 0.5%에 불과하다. 구동전류·정전제어·누설을 종합하면 응력 최댓값 코너보다 안쪽이 합리적인 설계점이다.</w:t>
      </w:r>
    </w:p>
    <w:p>
      <w:pPr>
        <w:spacing w:after="40"/>
        <w:jc w:val="center"/>
      </w:pPr>
      <w:r>
        <w:drawing>
          <wp:inline xmlns:a="http://schemas.openxmlformats.org/drawingml/2006/main" xmlns:pic="http://schemas.openxmlformats.org/drawingml/2006/picture">
            <wp:extent cx="5040000" cy="3584000"/>
            <wp:docPr id="5" name="Picture 5"/>
            <wp:cNvGraphicFramePr>
              <a:graphicFrameLocks noChangeAspect="1"/>
            </wp:cNvGraphicFramePr>
            <a:graphic>
              <a:graphicData uri="http://schemas.openxmlformats.org/drawingml/2006/picture">
                <pic:pic>
                  <pic:nvPicPr>
                    <pic:cNvPr id="0" name="pres_Ioff_map.png"/>
                    <pic:cNvPicPr/>
                  </pic:nvPicPr>
                  <pic:blipFill>
                    <a:blip r:embed="rId13"/>
                    <a:stretch>
                      <a:fillRect/>
                    </a:stretch>
                  </pic:blipFill>
                  <pic:spPr>
                    <a:xfrm>
                      <a:off x="0" y="0"/>
                      <a:ext cx="5040000" cy="3584000"/>
                    </a:xfrm>
                    <a:prstGeom prst="rect"/>
                  </pic:spPr>
                </pic:pic>
              </a:graphicData>
            </a:graphic>
          </wp:inline>
        </w:drawing>
      </w:r>
    </w:p>
    <w:p>
      <w:pPr>
        <w:spacing w:after="200"/>
        <w:jc w:val="center"/>
      </w:pPr>
      <w:r>
        <w:rPr>
          <w:i/>
          <w:color w:val="595959"/>
          <w:sz w:val="18"/>
        </w:rPr>
        <w:t>그림 5. 누설전류 지도 — 하단은 Ge 조성(재료 효과), 상단은 FR(형상 효과)이 지배한다</w:t>
      </w:r>
    </w:p>
    <w:p>
      <w:pPr>
        <w:spacing w:after="120"/>
      </w:pPr>
      <w:r>
        <w:rPr>
          <w:b w:val="0"/>
          <w:i w:val="0"/>
          <w:sz w:val="21"/>
        </w:rPr>
        <w:t>누설 지도는 두 변수가 모두 영향을 미쳐 대각 성분을 갖는다. 하단(FR 0 ~ 10 nm)에서는 형상이 동일한데도 Ge 조성에 따라 누설이 증가하고(재료 효과), 상단(FR 30 ~ 35 nm)에서는 Ge 조성과 무관하게 전 구간이 높다(형상 효과). 두 메커니즘이 공간적으로 분리돼 나타나므로, 설계 시 각각에 대응하는 대책을 개별적으로 수립할 수 있다.</w:t>
      </w:r>
    </w:p>
    <w:p>
      <w:pPr>
        <w:pStyle w:val="Heading2"/>
        <w:spacing w:before="240" w:after="120"/>
      </w:pPr>
      <w:r>
        <w:rPr>
          <w:color w:val="305496"/>
          <w:sz w:val="26"/>
        </w:rPr>
        <w:t>3.5  핀 폭 스케일링에 대한 민감도</w:t>
      </w:r>
    </w:p>
    <w:p>
      <w:pPr>
        <w:spacing w:after="120"/>
      </w:pPr>
      <w:r>
        <w:rPr>
          <w:b w:val="0"/>
          <w:i w:val="0"/>
          <w:sz w:val="21"/>
        </w:rPr>
        <w:t>본 구조의 fin 폭(15 nm)은 게이트 길이(25 nm) 대비 60%로, 실제 미세 노드보다 두껍다. 이 비율이 정전제어 절대 수준에 미치는 영향을 확인하기 위해 fin 폭을 절반(7.5 nm)으로 줄인 조건을 Ge 60% · 70%의 FR 전 구간에서 산출해 기준 구조와 비교했다.</w:t>
      </w:r>
    </w:p>
    <w:p>
      <w:pPr>
        <w:pStyle w:val="Heading3"/>
        <w:spacing w:before="200" w:after="80"/>
      </w:pPr>
      <w:r>
        <w:rPr>
          <w:color w:val="305496"/>
          <w:sz w:val="23"/>
        </w:rPr>
        <w:t>정전제어 — 핀 폭이 절대 수준을 결정한다</w:t>
      </w:r>
    </w:p>
    <w:tbl>
      <w:tblPr>
        <w:tblStyle w:val="TableGrid"/>
        <w:tblW w:type="auto" w:w="0"/>
        <w:jc w:val="center"/>
        <w:tblLayout w:type="fixed"/>
        <w:tblLook w:firstColumn="1" w:firstRow="1" w:lastColumn="0" w:lastRow="0" w:noHBand="0" w:noVBand="1" w:val="04A0"/>
      </w:tblPr>
      <w:tblGrid>
        <w:gridCol w:w="900"/>
        <w:gridCol w:w="1080"/>
        <w:gridCol w:w="1800"/>
        <w:gridCol w:w="1800"/>
        <w:gridCol w:w="1710"/>
        <w:gridCol w:w="1710"/>
      </w:tblGrid>
      <w:tr>
        <w:tc>
          <w:tcPr>
            <w:shd w:val="clear" w:color="auto" w:fill="305496"/>
            <w:tcW w:w="900" w:type="dxa"/>
          </w:tcPr>
          <w:p>
            <w:pPr>
              <w:jc w:val="center"/>
            </w:pPr>
            <w:r>
              <w:rPr>
                <w:b/>
                <w:color w:val="FFFFFF"/>
                <w:sz w:val="19"/>
              </w:rPr>
              <w:t>Ge</w:t>
            </w:r>
          </w:p>
        </w:tc>
        <w:tc>
          <w:tcPr>
            <w:shd w:val="clear" w:color="auto" w:fill="305496"/>
            <w:tcW w:w="1080" w:type="dxa"/>
          </w:tcPr>
          <w:p>
            <w:pPr>
              <w:jc w:val="center"/>
            </w:pPr>
            <w:r>
              <w:rPr>
                <w:b/>
                <w:color w:val="FFFFFF"/>
                <w:sz w:val="19"/>
              </w:rPr>
              <w:t>FR</w:t>
            </w:r>
          </w:p>
        </w:tc>
        <w:tc>
          <w:tcPr>
            <w:shd w:val="clear" w:color="auto" w:fill="305496"/>
            <w:tcW w:w="1800" w:type="dxa"/>
          </w:tcPr>
          <w:p>
            <w:pPr>
              <w:jc w:val="center"/>
            </w:pPr>
            <w:r>
              <w:rPr>
                <w:b/>
                <w:color w:val="FFFFFF"/>
                <w:sz w:val="19"/>
              </w:rPr>
              <w:t>SSlin (7.5 nm)</w:t>
            </w:r>
          </w:p>
        </w:tc>
        <w:tc>
          <w:tcPr>
            <w:shd w:val="clear" w:color="auto" w:fill="305496"/>
            <w:tcW w:w="1800" w:type="dxa"/>
          </w:tcPr>
          <w:p>
            <w:pPr>
              <w:jc w:val="center"/>
            </w:pPr>
            <w:r>
              <w:rPr>
                <w:b/>
                <w:color w:val="FFFFFF"/>
                <w:sz w:val="19"/>
              </w:rPr>
              <w:t>SSlin (15 nm)</w:t>
            </w:r>
          </w:p>
        </w:tc>
        <w:tc>
          <w:tcPr>
            <w:shd w:val="clear" w:color="auto" w:fill="305496"/>
            <w:tcW w:w="1710" w:type="dxa"/>
          </w:tcPr>
          <w:p>
            <w:pPr>
              <w:jc w:val="center"/>
            </w:pPr>
            <w:r>
              <w:rPr>
                <w:b/>
                <w:color w:val="FFFFFF"/>
                <w:sz w:val="19"/>
              </w:rPr>
              <w:t>DIBL (7.5 nm)</w:t>
            </w:r>
          </w:p>
        </w:tc>
        <w:tc>
          <w:tcPr>
            <w:shd w:val="clear" w:color="auto" w:fill="305496"/>
            <w:tcW w:w="1710" w:type="dxa"/>
          </w:tcPr>
          <w:p>
            <w:pPr>
              <w:jc w:val="center"/>
            </w:pPr>
            <w:r>
              <w:rPr>
                <w:b/>
                <w:color w:val="FFFFFF"/>
                <w:sz w:val="19"/>
              </w:rPr>
              <w:t>DIBL (15 nm)</w:t>
            </w:r>
          </w:p>
        </w:tc>
      </w:tr>
      <w:tr>
        <w:tc>
          <w:tcPr>
            <w:tcW w:w="900" w:type="dxa"/>
          </w:tcPr>
          <w:p>
            <w:r>
              <w:rPr>
                <w:b/>
                <w:sz w:val="19"/>
              </w:rPr>
              <w:t>60%</w:t>
            </w:r>
          </w:p>
        </w:tc>
        <w:tc>
          <w:tcPr>
            <w:tcW w:w="1080" w:type="dxa"/>
          </w:tcPr>
          <w:p>
            <w:pPr>
              <w:jc w:val="center"/>
            </w:pPr>
            <w:r>
              <w:rPr>
                <w:b/>
                <w:sz w:val="19"/>
              </w:rPr>
              <w:t>0 nm</w:t>
            </w:r>
          </w:p>
        </w:tc>
        <w:tc>
          <w:tcPr>
            <w:tcW w:w="1800" w:type="dxa"/>
          </w:tcPr>
          <w:p>
            <w:pPr>
              <w:jc w:val="center"/>
            </w:pPr>
            <w:r>
              <w:rPr>
                <w:b/>
                <w:sz w:val="19"/>
              </w:rPr>
              <w:t>66.3</w:t>
            </w:r>
          </w:p>
        </w:tc>
        <w:tc>
          <w:tcPr>
            <w:tcW w:w="1800" w:type="dxa"/>
          </w:tcPr>
          <w:p>
            <w:pPr>
              <w:jc w:val="center"/>
            </w:pPr>
            <w:r>
              <w:rPr>
                <w:b/>
                <w:sz w:val="19"/>
              </w:rPr>
              <w:t>77.4</w:t>
            </w:r>
          </w:p>
        </w:tc>
        <w:tc>
          <w:tcPr>
            <w:tcW w:w="1710" w:type="dxa"/>
          </w:tcPr>
          <w:p>
            <w:pPr>
              <w:jc w:val="center"/>
            </w:pPr>
            <w:r>
              <w:rPr>
                <w:b/>
                <w:sz w:val="19"/>
              </w:rPr>
              <w:t>29.3</w:t>
            </w:r>
          </w:p>
        </w:tc>
        <w:tc>
          <w:tcPr>
            <w:tcW w:w="1710" w:type="dxa"/>
          </w:tcPr>
          <w:p>
            <w:pPr>
              <w:jc w:val="center"/>
            </w:pPr>
            <w:r>
              <w:rPr>
                <w:b/>
                <w:sz w:val="19"/>
              </w:rPr>
              <w:t>74.7</w:t>
            </w:r>
          </w:p>
        </w:tc>
      </w:tr>
      <w:tr>
        <w:tc>
          <w:tcPr>
            <w:shd w:val="clear" w:color="auto" w:fill="F4F6FA"/>
            <w:tcW w:w="900" w:type="dxa"/>
          </w:tcPr>
          <w:p>
            <w:r>
              <w:rPr>
                <w:b/>
                <w:sz w:val="19"/>
              </w:rPr>
              <w:t>70%</w:t>
            </w:r>
          </w:p>
        </w:tc>
        <w:tc>
          <w:tcPr>
            <w:shd w:val="clear" w:color="auto" w:fill="F4F6FA"/>
            <w:tcW w:w="1080" w:type="dxa"/>
          </w:tcPr>
          <w:p>
            <w:pPr>
              <w:jc w:val="center"/>
            </w:pPr>
            <w:r>
              <w:rPr>
                <w:b/>
                <w:sz w:val="19"/>
              </w:rPr>
              <w:t>0 nm</w:t>
            </w:r>
          </w:p>
        </w:tc>
        <w:tc>
          <w:tcPr>
            <w:shd w:val="clear" w:color="auto" w:fill="F4F6FA"/>
            <w:tcW w:w="1800" w:type="dxa"/>
          </w:tcPr>
          <w:p>
            <w:pPr>
              <w:jc w:val="center"/>
            </w:pPr>
            <w:r>
              <w:rPr>
                <w:b/>
                <w:sz w:val="19"/>
              </w:rPr>
              <w:t>65.1</w:t>
            </w:r>
          </w:p>
        </w:tc>
        <w:tc>
          <w:tcPr>
            <w:shd w:val="clear" w:color="auto" w:fill="F4F6FA"/>
            <w:tcW w:w="1800" w:type="dxa"/>
          </w:tcPr>
          <w:p>
            <w:pPr>
              <w:jc w:val="center"/>
            </w:pPr>
            <w:r>
              <w:rPr>
                <w:b/>
                <w:sz w:val="19"/>
              </w:rPr>
              <w:t>76.6</w:t>
            </w:r>
          </w:p>
        </w:tc>
        <w:tc>
          <w:tcPr>
            <w:shd w:val="clear" w:color="auto" w:fill="F4F6FA"/>
            <w:tcW w:w="1710" w:type="dxa"/>
          </w:tcPr>
          <w:p>
            <w:pPr>
              <w:jc w:val="center"/>
            </w:pPr>
            <w:r>
              <w:rPr>
                <w:b/>
                <w:sz w:val="19"/>
              </w:rPr>
              <w:t>29.3</w:t>
            </w:r>
          </w:p>
        </w:tc>
        <w:tc>
          <w:tcPr>
            <w:shd w:val="clear" w:color="auto" w:fill="F4F6FA"/>
            <w:tcW w:w="1710" w:type="dxa"/>
          </w:tcPr>
          <w:p>
            <w:pPr>
              <w:jc w:val="center"/>
            </w:pPr>
            <w:r>
              <w:rPr>
                <w:b/>
                <w:sz w:val="19"/>
              </w:rPr>
              <w:t>69.3</w:t>
            </w:r>
          </w:p>
        </w:tc>
      </w:tr>
      <w:tr>
        <w:tc>
          <w:tcPr>
            <w:tcW w:w="900" w:type="dxa"/>
          </w:tcPr>
          <w:p>
            <w:r>
              <w:rPr>
                <w:sz w:val="19"/>
              </w:rPr>
              <w:t>60%</w:t>
            </w:r>
          </w:p>
        </w:tc>
        <w:tc>
          <w:tcPr>
            <w:tcW w:w="1080" w:type="dxa"/>
          </w:tcPr>
          <w:p>
            <w:pPr>
              <w:jc w:val="center"/>
            </w:pPr>
            <w:r>
              <w:rPr>
                <w:sz w:val="19"/>
              </w:rPr>
              <w:t>20 nm</w:t>
            </w:r>
          </w:p>
        </w:tc>
        <w:tc>
          <w:tcPr>
            <w:tcW w:w="1800" w:type="dxa"/>
          </w:tcPr>
          <w:p>
            <w:pPr>
              <w:jc w:val="center"/>
            </w:pPr>
            <w:r>
              <w:rPr>
                <w:sz w:val="19"/>
              </w:rPr>
              <w:t>80.6</w:t>
            </w:r>
          </w:p>
        </w:tc>
        <w:tc>
          <w:tcPr>
            <w:tcW w:w="1800" w:type="dxa"/>
          </w:tcPr>
          <w:p>
            <w:pPr>
              <w:jc w:val="center"/>
            </w:pPr>
            <w:r>
              <w:rPr>
                <w:sz w:val="19"/>
              </w:rPr>
              <w:t>83.3</w:t>
            </w:r>
          </w:p>
        </w:tc>
        <w:tc>
          <w:tcPr>
            <w:tcW w:w="1710" w:type="dxa"/>
          </w:tcPr>
          <w:p>
            <w:pPr>
              <w:jc w:val="center"/>
            </w:pPr>
            <w:r>
              <w:rPr>
                <w:sz w:val="19"/>
              </w:rPr>
              <w:t>45.3</w:t>
            </w:r>
          </w:p>
        </w:tc>
        <w:tc>
          <w:tcPr>
            <w:tcW w:w="1710" w:type="dxa"/>
          </w:tcPr>
          <w:p>
            <w:pPr>
              <w:jc w:val="center"/>
            </w:pPr>
            <w:r>
              <w:rPr>
                <w:sz w:val="19"/>
              </w:rPr>
              <w:t>92.0</w:t>
            </w:r>
          </w:p>
        </w:tc>
      </w:tr>
      <w:tr>
        <w:tc>
          <w:tcPr>
            <w:shd w:val="clear" w:color="auto" w:fill="F4F6FA"/>
            <w:tcW w:w="900" w:type="dxa"/>
          </w:tcPr>
          <w:p>
            <w:r>
              <w:rPr>
                <w:sz w:val="19"/>
              </w:rPr>
              <w:t>70%</w:t>
            </w:r>
          </w:p>
        </w:tc>
        <w:tc>
          <w:tcPr>
            <w:shd w:val="clear" w:color="auto" w:fill="F4F6FA"/>
            <w:tcW w:w="1080" w:type="dxa"/>
          </w:tcPr>
          <w:p>
            <w:pPr>
              <w:jc w:val="center"/>
            </w:pPr>
            <w:r>
              <w:rPr>
                <w:sz w:val="19"/>
              </w:rPr>
              <w:t>20 nm</w:t>
            </w:r>
          </w:p>
        </w:tc>
        <w:tc>
          <w:tcPr>
            <w:shd w:val="clear" w:color="auto" w:fill="F4F6FA"/>
            <w:tcW w:w="1800" w:type="dxa"/>
          </w:tcPr>
          <w:p>
            <w:pPr>
              <w:jc w:val="center"/>
            </w:pPr>
            <w:r>
              <w:rPr>
                <w:sz w:val="19"/>
              </w:rPr>
              <w:t>77.5</w:t>
            </w:r>
          </w:p>
        </w:tc>
        <w:tc>
          <w:tcPr>
            <w:shd w:val="clear" w:color="auto" w:fill="F4F6FA"/>
            <w:tcW w:w="1800" w:type="dxa"/>
          </w:tcPr>
          <w:p>
            <w:pPr>
              <w:jc w:val="center"/>
            </w:pPr>
            <w:r>
              <w:rPr>
                <w:sz w:val="19"/>
              </w:rPr>
              <w:t>82.5</w:t>
            </w:r>
          </w:p>
        </w:tc>
        <w:tc>
          <w:tcPr>
            <w:shd w:val="clear" w:color="auto" w:fill="F4F6FA"/>
            <w:tcW w:w="1710" w:type="dxa"/>
          </w:tcPr>
          <w:p>
            <w:pPr>
              <w:jc w:val="center"/>
            </w:pPr>
            <w:r>
              <w:rPr>
                <w:sz w:val="19"/>
              </w:rPr>
              <w:t>44.0</w:t>
            </w:r>
          </w:p>
        </w:tc>
        <w:tc>
          <w:tcPr>
            <w:shd w:val="clear" w:color="auto" w:fill="F4F6FA"/>
            <w:tcW w:w="1710" w:type="dxa"/>
          </w:tcPr>
          <w:p>
            <w:pPr>
              <w:jc w:val="center"/>
            </w:pPr>
            <w:r>
              <w:rPr>
                <w:sz w:val="19"/>
              </w:rPr>
              <w:t>86.7</w:t>
            </w:r>
          </w:p>
        </w:tc>
      </w:tr>
    </w:tbl>
    <w:p/>
    <w:p>
      <w:pPr>
        <w:spacing w:after="120"/>
      </w:pPr>
      <w:r>
        <w:rPr>
          <w:b w:val="0"/>
          <w:i w:val="0"/>
          <w:sz w:val="21"/>
        </w:rPr>
        <w:t xml:space="preserve">리세스가 얕은 조건에서 SSlin이 11 mV/dec 이상 낮아져 65 ~ 66 mV/dec에 도달하며, DIBL은 약 60% 감소한다. 이는 기준 구조에서 관찰된 76 ~ 80 mV/dec 수준이 소자나 물리 모델의 문제가 아니라 </w:t>
      </w:r>
      <w:r>
        <w:rPr>
          <w:b/>
          <w:i w:val="0"/>
          <w:sz w:val="21"/>
        </w:rPr>
        <w:t>fin 폭 대 게이트 길이 비율이 큰 데서 오는 구조적 결과</w:t>
      </w:r>
      <w:r>
        <w:rPr>
          <w:b w:val="0"/>
          <w:i w:val="0"/>
          <w:sz w:val="21"/>
        </w:rPr>
        <w:t>임을 직접 확인한 것이다. fin 폭이 게이트 길이의 30% 수준이 되면 이상적 하한(60 mV/dec)에 근접한다.</w:t>
      </w:r>
    </w:p>
    <w:p>
      <w:pPr>
        <w:pStyle w:val="Heading3"/>
        <w:spacing w:before="200" w:after="80"/>
      </w:pPr>
      <w:r>
        <w:rPr>
          <w:color w:val="305496"/>
          <w:sz w:val="23"/>
        </w:rPr>
        <w:t>전달 효율 — 핀 폭도 기하학적 전달 인자다</w:t>
      </w:r>
    </w:p>
    <w:tbl>
      <w:tblPr>
        <w:tblStyle w:val="TableGrid"/>
        <w:tblW w:type="auto" w:w="0"/>
        <w:jc w:val="center"/>
        <w:tblLayout w:type="fixed"/>
        <w:tblLook w:firstColumn="1" w:firstRow="1" w:lastColumn="0" w:lastRow="0" w:noHBand="0" w:noVBand="1" w:val="04A0"/>
      </w:tblPr>
      <w:tblGrid>
        <w:gridCol w:w="900"/>
        <w:gridCol w:w="1080"/>
        <w:gridCol w:w="2340"/>
        <w:gridCol w:w="2340"/>
        <w:gridCol w:w="2340"/>
      </w:tblGrid>
      <w:tr>
        <w:tc>
          <w:tcPr>
            <w:shd w:val="clear" w:color="auto" w:fill="305496"/>
            <w:tcW w:w="900" w:type="dxa"/>
          </w:tcPr>
          <w:p>
            <w:pPr>
              <w:jc w:val="center"/>
            </w:pPr>
            <w:r>
              <w:rPr>
                <w:b/>
                <w:color w:val="FFFFFF"/>
                <w:sz w:val="19"/>
              </w:rPr>
              <w:t>Ge</w:t>
            </w:r>
          </w:p>
        </w:tc>
        <w:tc>
          <w:tcPr>
            <w:shd w:val="clear" w:color="auto" w:fill="305496"/>
            <w:tcW w:w="1080" w:type="dxa"/>
          </w:tcPr>
          <w:p>
            <w:pPr>
              <w:jc w:val="center"/>
            </w:pPr>
            <w:r>
              <w:rPr>
                <w:b/>
                <w:color w:val="FFFFFF"/>
                <w:sz w:val="19"/>
              </w:rPr>
              <w:t>FR</w:t>
            </w:r>
          </w:p>
        </w:tc>
        <w:tc>
          <w:tcPr>
            <w:shd w:val="clear" w:color="auto" w:fill="305496"/>
            <w:tcW w:w="2340" w:type="dxa"/>
          </w:tcPr>
          <w:p>
            <w:pPr>
              <w:jc w:val="center"/>
            </w:pPr>
            <w:r>
              <w:rPr>
                <w:b/>
                <w:color w:val="FFFFFF"/>
                <w:sz w:val="19"/>
              </w:rPr>
              <w:t>STE (7.5 nm)</w:t>
            </w:r>
          </w:p>
        </w:tc>
        <w:tc>
          <w:tcPr>
            <w:shd w:val="clear" w:color="auto" w:fill="305496"/>
            <w:tcW w:w="2340" w:type="dxa"/>
          </w:tcPr>
          <w:p>
            <w:pPr>
              <w:jc w:val="center"/>
            </w:pPr>
            <w:r>
              <w:rPr>
                <w:b/>
                <w:color w:val="FFFFFF"/>
                <w:sz w:val="19"/>
              </w:rPr>
              <w:t>STE (15 nm)</w:t>
            </w:r>
          </w:p>
        </w:tc>
        <w:tc>
          <w:tcPr>
            <w:shd w:val="clear" w:color="auto" w:fill="305496"/>
            <w:tcW w:w="2340" w:type="dxa"/>
          </w:tcPr>
          <w:p>
            <w:pPr>
              <w:jc w:val="center"/>
            </w:pPr>
            <w:r>
              <w:rPr>
                <w:b/>
                <w:color w:val="FFFFFF"/>
                <w:sz w:val="19"/>
              </w:rPr>
              <w:t>응력 변화</w:t>
            </w:r>
          </w:p>
        </w:tc>
      </w:tr>
      <w:tr>
        <w:tc>
          <w:tcPr>
            <w:tcW w:w="900" w:type="dxa"/>
          </w:tcPr>
          <w:p>
            <w:r>
              <w:rPr>
                <w:sz w:val="19"/>
              </w:rPr>
              <w:t>60%</w:t>
            </w:r>
          </w:p>
        </w:tc>
        <w:tc>
          <w:tcPr>
            <w:tcW w:w="1080" w:type="dxa"/>
          </w:tcPr>
          <w:p>
            <w:pPr>
              <w:jc w:val="center"/>
            </w:pPr>
            <w:r>
              <w:rPr>
                <w:sz w:val="19"/>
              </w:rPr>
              <w:t>0 nm</w:t>
            </w:r>
          </w:p>
        </w:tc>
        <w:tc>
          <w:tcPr>
            <w:tcW w:w="2340" w:type="dxa"/>
          </w:tcPr>
          <w:p>
            <w:pPr>
              <w:jc w:val="center"/>
            </w:pPr>
            <w:r>
              <w:rPr>
                <w:sz w:val="19"/>
              </w:rPr>
              <w:t>0.658</w:t>
            </w:r>
          </w:p>
        </w:tc>
        <w:tc>
          <w:tcPr>
            <w:tcW w:w="2340" w:type="dxa"/>
          </w:tcPr>
          <w:p>
            <w:pPr>
              <w:jc w:val="center"/>
            </w:pPr>
            <w:r>
              <w:rPr>
                <w:sz w:val="19"/>
              </w:rPr>
              <w:t>0.602</w:t>
            </w:r>
          </w:p>
        </w:tc>
        <w:tc>
          <w:tcPr>
            <w:tcW w:w="2340" w:type="dxa"/>
          </w:tcPr>
          <w:p>
            <w:pPr>
              <w:jc w:val="center"/>
            </w:pPr>
            <w:r>
              <w:rPr>
                <w:sz w:val="19"/>
              </w:rPr>
              <w:t>+9.4%</w:t>
            </w:r>
          </w:p>
        </w:tc>
      </w:tr>
      <w:tr>
        <w:tc>
          <w:tcPr>
            <w:shd w:val="clear" w:color="auto" w:fill="F4F6FA"/>
            <w:tcW w:w="900" w:type="dxa"/>
          </w:tcPr>
          <w:p>
            <w:r>
              <w:rPr>
                <w:sz w:val="19"/>
              </w:rPr>
              <w:t>60%</w:t>
            </w:r>
          </w:p>
        </w:tc>
        <w:tc>
          <w:tcPr>
            <w:shd w:val="clear" w:color="auto" w:fill="F4F6FA"/>
            <w:tcW w:w="1080" w:type="dxa"/>
          </w:tcPr>
          <w:p>
            <w:pPr>
              <w:jc w:val="center"/>
            </w:pPr>
            <w:r>
              <w:rPr>
                <w:sz w:val="19"/>
              </w:rPr>
              <w:t>20 nm</w:t>
            </w:r>
          </w:p>
        </w:tc>
        <w:tc>
          <w:tcPr>
            <w:shd w:val="clear" w:color="auto" w:fill="F4F6FA"/>
            <w:tcW w:w="2340" w:type="dxa"/>
          </w:tcPr>
          <w:p>
            <w:pPr>
              <w:jc w:val="center"/>
            </w:pPr>
            <w:r>
              <w:rPr>
                <w:sz w:val="19"/>
              </w:rPr>
              <w:t>0.734</w:t>
            </w:r>
          </w:p>
        </w:tc>
        <w:tc>
          <w:tcPr>
            <w:shd w:val="clear" w:color="auto" w:fill="F4F6FA"/>
            <w:tcW w:w="2340" w:type="dxa"/>
          </w:tcPr>
          <w:p>
            <w:pPr>
              <w:jc w:val="center"/>
            </w:pPr>
            <w:r>
              <w:rPr>
                <w:sz w:val="19"/>
              </w:rPr>
              <w:t>0.668</w:t>
            </w:r>
          </w:p>
        </w:tc>
        <w:tc>
          <w:tcPr>
            <w:shd w:val="clear" w:color="auto" w:fill="F4F6FA"/>
            <w:tcW w:w="2340" w:type="dxa"/>
          </w:tcPr>
          <w:p>
            <w:pPr>
              <w:jc w:val="center"/>
            </w:pPr>
            <w:r>
              <w:rPr>
                <w:sz w:val="19"/>
              </w:rPr>
              <w:t>+9.9%</w:t>
            </w:r>
          </w:p>
        </w:tc>
      </w:tr>
      <w:tr>
        <w:tc>
          <w:tcPr>
            <w:tcW w:w="900" w:type="dxa"/>
          </w:tcPr>
          <w:p>
            <w:r>
              <w:rPr>
                <w:sz w:val="19"/>
              </w:rPr>
              <w:t>70%</w:t>
            </w:r>
          </w:p>
        </w:tc>
        <w:tc>
          <w:tcPr>
            <w:tcW w:w="1080" w:type="dxa"/>
          </w:tcPr>
          <w:p>
            <w:pPr>
              <w:jc w:val="center"/>
            </w:pPr>
            <w:r>
              <w:rPr>
                <w:sz w:val="19"/>
              </w:rPr>
              <w:t>0 nm</w:t>
            </w:r>
          </w:p>
        </w:tc>
        <w:tc>
          <w:tcPr>
            <w:tcW w:w="2340" w:type="dxa"/>
          </w:tcPr>
          <w:p>
            <w:pPr>
              <w:jc w:val="center"/>
            </w:pPr>
            <w:r>
              <w:rPr>
                <w:sz w:val="19"/>
              </w:rPr>
              <w:t>0.667</w:t>
            </w:r>
          </w:p>
        </w:tc>
        <w:tc>
          <w:tcPr>
            <w:tcW w:w="2340" w:type="dxa"/>
          </w:tcPr>
          <w:p>
            <w:pPr>
              <w:jc w:val="center"/>
            </w:pPr>
            <w:r>
              <w:rPr>
                <w:sz w:val="19"/>
              </w:rPr>
              <w:t>0.607</w:t>
            </w:r>
          </w:p>
        </w:tc>
        <w:tc>
          <w:tcPr>
            <w:tcW w:w="2340" w:type="dxa"/>
          </w:tcPr>
          <w:p>
            <w:pPr>
              <w:jc w:val="center"/>
            </w:pPr>
            <w:r>
              <w:rPr>
                <w:sz w:val="19"/>
              </w:rPr>
              <w:t>+9.9%</w:t>
            </w:r>
          </w:p>
        </w:tc>
      </w:tr>
      <w:tr>
        <w:tc>
          <w:tcPr>
            <w:shd w:val="clear" w:color="auto" w:fill="F4F6FA"/>
            <w:tcW w:w="900" w:type="dxa"/>
          </w:tcPr>
          <w:p>
            <w:r>
              <w:rPr>
                <w:sz w:val="19"/>
              </w:rPr>
              <w:t>70%</w:t>
            </w:r>
          </w:p>
        </w:tc>
        <w:tc>
          <w:tcPr>
            <w:shd w:val="clear" w:color="auto" w:fill="F4F6FA"/>
            <w:tcW w:w="1080" w:type="dxa"/>
          </w:tcPr>
          <w:p>
            <w:pPr>
              <w:jc w:val="center"/>
            </w:pPr>
            <w:r>
              <w:rPr>
                <w:sz w:val="19"/>
              </w:rPr>
              <w:t>20 nm</w:t>
            </w:r>
          </w:p>
        </w:tc>
        <w:tc>
          <w:tcPr>
            <w:shd w:val="clear" w:color="auto" w:fill="F4F6FA"/>
            <w:tcW w:w="2340" w:type="dxa"/>
          </w:tcPr>
          <w:p>
            <w:pPr>
              <w:jc w:val="center"/>
            </w:pPr>
            <w:r>
              <w:rPr>
                <w:sz w:val="19"/>
              </w:rPr>
              <w:t>0.740</w:t>
            </w:r>
          </w:p>
        </w:tc>
        <w:tc>
          <w:tcPr>
            <w:shd w:val="clear" w:color="auto" w:fill="F4F6FA"/>
            <w:tcW w:w="2340" w:type="dxa"/>
          </w:tcPr>
          <w:p>
            <w:pPr>
              <w:jc w:val="center"/>
            </w:pPr>
            <w:r>
              <w:rPr>
                <w:sz w:val="19"/>
              </w:rPr>
              <w:t>0.671</w:t>
            </w:r>
          </w:p>
        </w:tc>
        <w:tc>
          <w:tcPr>
            <w:shd w:val="clear" w:color="auto" w:fill="F4F6FA"/>
            <w:tcW w:w="2340" w:type="dxa"/>
          </w:tcPr>
          <w:p>
            <w:pPr>
              <w:jc w:val="center"/>
            </w:pPr>
            <w:r>
              <w:rPr>
                <w:sz w:val="19"/>
              </w:rPr>
              <w:t>+10.2%</w:t>
            </w:r>
          </w:p>
        </w:tc>
      </w:tr>
    </w:tbl>
    <w:p/>
    <w:p>
      <w:pPr>
        <w:spacing w:after="120"/>
      </w:pPr>
      <w:r>
        <w:rPr>
          <w:b w:val="0"/>
          <w:i w:val="0"/>
          <w:sz w:val="21"/>
        </w:rPr>
        <w:t xml:space="preserve">전 조건에서 채널 응력이 9 ~ 11% 증가하고 STE도 같은 폭으로 상승한다. fin이 얇을수록 탄성 완화가 덜 일어나 응력원이 공급한 변형이 더 많이 보존되기 때문이다. 즉 </w:t>
      </w:r>
      <w:r>
        <w:rPr>
          <w:b/>
          <w:i w:val="0"/>
          <w:sz w:val="21"/>
        </w:rPr>
        <w:t>fin 폭은 FR과 함께 전달 효율을 결정하는 또 하나의 기하학적 변수</w:t>
      </w:r>
      <w:r>
        <w:rPr>
          <w:b w:val="0"/>
          <w:i w:val="0"/>
          <w:sz w:val="21"/>
        </w:rPr>
        <w:t>이며, 3.2절에서 확인한 "전달 효율은 기하학적 조건이 지배한다"는 결론과 같은 방향이다.</w:t>
      </w:r>
    </w:p>
    <w:p>
      <w:pPr>
        <w:pStyle w:val="Heading3"/>
        <w:spacing w:before="200" w:after="80"/>
      </w:pPr>
      <w:r>
        <w:rPr>
          <w:color w:val="305496"/>
          <w:sz w:val="23"/>
        </w:rPr>
        <w:t>★ 상충 — 깊은 리세스에서는 관계가 역전된다</w:t>
      </w:r>
    </w:p>
    <w:tbl>
      <w:tblPr>
        <w:tblStyle w:val="TableGrid"/>
        <w:tblW w:type="auto" w:w="0"/>
        <w:jc w:val="center"/>
        <w:tblLayout w:type="fixed"/>
        <w:tblLook w:firstColumn="1" w:firstRow="1" w:lastColumn="0" w:lastRow="0" w:noHBand="0" w:noVBand="1" w:val="04A0"/>
      </w:tblPr>
      <w:tblGrid>
        <w:gridCol w:w="2520"/>
        <w:gridCol w:w="2160"/>
        <w:gridCol w:w="2160"/>
        <w:gridCol w:w="2160"/>
      </w:tblGrid>
      <w:tr>
        <w:tc>
          <w:tcPr>
            <w:shd w:val="clear" w:color="auto" w:fill="305496"/>
            <w:tcW w:w="2520" w:type="dxa"/>
          </w:tcPr>
          <w:p>
            <w:pPr>
              <w:jc w:val="center"/>
            </w:pPr>
            <w:r>
              <w:rPr>
                <w:b/>
                <w:color w:val="FFFFFF"/>
                <w:sz w:val="19"/>
              </w:rPr>
              <w:t>Ge = 60%</w:t>
            </w:r>
          </w:p>
        </w:tc>
        <w:tc>
          <w:tcPr>
            <w:shd w:val="clear" w:color="auto" w:fill="305496"/>
            <w:tcW w:w="2160" w:type="dxa"/>
          </w:tcPr>
          <w:p>
            <w:pPr>
              <w:jc w:val="center"/>
            </w:pPr>
            <w:r>
              <w:rPr>
                <w:b/>
                <w:color w:val="FFFFFF"/>
                <w:sz w:val="19"/>
              </w:rPr>
              <w:t>FR 20 nm</w:t>
            </w:r>
          </w:p>
        </w:tc>
        <w:tc>
          <w:tcPr>
            <w:shd w:val="clear" w:color="auto" w:fill="305496"/>
            <w:tcW w:w="2160" w:type="dxa"/>
          </w:tcPr>
          <w:p>
            <w:pPr>
              <w:jc w:val="center"/>
            </w:pPr>
            <w:r>
              <w:rPr>
                <w:b/>
                <w:color w:val="FFFFFF"/>
                <w:sz w:val="19"/>
              </w:rPr>
              <w:t>FR 30 nm</w:t>
            </w:r>
          </w:p>
        </w:tc>
        <w:tc>
          <w:tcPr>
            <w:shd w:val="clear" w:color="auto" w:fill="305496"/>
            <w:tcW w:w="2160" w:type="dxa"/>
          </w:tcPr>
          <w:p>
            <w:pPr>
              <w:jc w:val="center"/>
            </w:pPr>
            <w:r>
              <w:rPr>
                <w:b/>
                <w:color w:val="FFFFFF"/>
                <w:sz w:val="19"/>
              </w:rPr>
              <w:t>FR 35 nm</w:t>
            </w:r>
          </w:p>
        </w:tc>
      </w:tr>
      <w:tr>
        <w:tc>
          <w:tcPr>
            <w:tcW w:w="2520" w:type="dxa"/>
          </w:tcPr>
          <w:p>
            <w:r>
              <w:rPr>
                <w:b/>
                <w:sz w:val="19"/>
              </w:rPr>
              <w:t>SSlin (7.5 nm)</w:t>
            </w:r>
          </w:p>
        </w:tc>
        <w:tc>
          <w:tcPr>
            <w:tcW w:w="2160" w:type="dxa"/>
          </w:tcPr>
          <w:p>
            <w:pPr>
              <w:jc w:val="center"/>
            </w:pPr>
            <w:r>
              <w:rPr>
                <w:b/>
                <w:sz w:val="19"/>
              </w:rPr>
              <w:t>80.6</w:t>
            </w:r>
          </w:p>
        </w:tc>
        <w:tc>
          <w:tcPr>
            <w:tcW w:w="2160" w:type="dxa"/>
          </w:tcPr>
          <w:p>
            <w:pPr>
              <w:jc w:val="center"/>
            </w:pPr>
            <w:r>
              <w:rPr>
                <w:b/>
                <w:sz w:val="19"/>
              </w:rPr>
              <w:t>162.3</w:t>
            </w:r>
          </w:p>
        </w:tc>
        <w:tc>
          <w:tcPr>
            <w:tcW w:w="2160" w:type="dxa"/>
          </w:tcPr>
          <w:p>
            <w:pPr>
              <w:jc w:val="center"/>
            </w:pPr>
            <w:r>
              <w:rPr>
                <w:b/>
                <w:sz w:val="19"/>
              </w:rPr>
              <w:t>222.3</w:t>
            </w:r>
          </w:p>
        </w:tc>
      </w:tr>
      <w:tr>
        <w:tc>
          <w:tcPr>
            <w:shd w:val="clear" w:color="auto" w:fill="F4F6FA"/>
            <w:tcW w:w="2520" w:type="dxa"/>
          </w:tcPr>
          <w:p>
            <w:r>
              <w:rPr>
                <w:b/>
                <w:sz w:val="19"/>
              </w:rPr>
              <w:t>SSlin (15 nm)</w:t>
            </w:r>
          </w:p>
        </w:tc>
        <w:tc>
          <w:tcPr>
            <w:shd w:val="clear" w:color="auto" w:fill="F4F6FA"/>
            <w:tcW w:w="2160" w:type="dxa"/>
          </w:tcPr>
          <w:p>
            <w:pPr>
              <w:jc w:val="center"/>
            </w:pPr>
            <w:r>
              <w:rPr>
                <w:b/>
                <w:sz w:val="19"/>
              </w:rPr>
              <w:t>83.3</w:t>
            </w:r>
          </w:p>
        </w:tc>
        <w:tc>
          <w:tcPr>
            <w:shd w:val="clear" w:color="auto" w:fill="F4F6FA"/>
            <w:tcW w:w="2160" w:type="dxa"/>
          </w:tcPr>
          <w:p>
            <w:pPr>
              <w:jc w:val="center"/>
            </w:pPr>
            <w:r>
              <w:rPr>
                <w:b/>
                <w:sz w:val="19"/>
              </w:rPr>
              <w:t>95.9</w:t>
            </w:r>
          </w:p>
        </w:tc>
        <w:tc>
          <w:tcPr>
            <w:shd w:val="clear" w:color="auto" w:fill="F4F6FA"/>
            <w:tcW w:w="2160" w:type="dxa"/>
          </w:tcPr>
          <w:p>
            <w:pPr>
              <w:jc w:val="center"/>
            </w:pPr>
            <w:r>
              <w:rPr>
                <w:b/>
                <w:sz w:val="19"/>
              </w:rPr>
              <w:t>104.5</w:t>
            </w:r>
          </w:p>
        </w:tc>
      </w:tr>
      <w:tr>
        <w:tc>
          <w:tcPr>
            <w:tcW w:w="2520" w:type="dxa"/>
          </w:tcPr>
          <w:p>
            <w:r>
              <w:rPr>
                <w:sz w:val="19"/>
              </w:rPr>
              <w:t>Ioff_norm (7.5 nm)</w:t>
            </w:r>
          </w:p>
        </w:tc>
        <w:tc>
          <w:tcPr>
            <w:tcW w:w="2160" w:type="dxa"/>
          </w:tcPr>
          <w:p>
            <w:pPr>
              <w:jc w:val="center"/>
            </w:pPr>
            <w:r>
              <w:rPr>
                <w:sz w:val="19"/>
              </w:rPr>
              <w:t>1.52e−9</w:t>
            </w:r>
          </w:p>
        </w:tc>
        <w:tc>
          <w:tcPr>
            <w:tcW w:w="2160" w:type="dxa"/>
          </w:tcPr>
          <w:p>
            <w:pPr>
              <w:jc w:val="center"/>
            </w:pPr>
            <w:r>
              <w:rPr>
                <w:sz w:val="19"/>
              </w:rPr>
              <w:t>1.12e−6</w:t>
            </w:r>
          </w:p>
        </w:tc>
        <w:tc>
          <w:tcPr>
            <w:tcW w:w="2160" w:type="dxa"/>
          </w:tcPr>
          <w:p>
            <w:pPr>
              <w:jc w:val="center"/>
            </w:pPr>
            <w:r>
              <w:rPr>
                <w:sz w:val="19"/>
              </w:rPr>
              <w:t>4.97e−6</w:t>
            </w:r>
          </w:p>
        </w:tc>
      </w:tr>
      <w:tr>
        <w:tc>
          <w:tcPr>
            <w:shd w:val="clear" w:color="auto" w:fill="F4F6FA"/>
            <w:tcW w:w="2520" w:type="dxa"/>
          </w:tcPr>
          <w:p>
            <w:r>
              <w:rPr>
                <w:sz w:val="19"/>
              </w:rPr>
              <w:t>Ioff_norm (15 nm)</w:t>
            </w:r>
          </w:p>
        </w:tc>
        <w:tc>
          <w:tcPr>
            <w:shd w:val="clear" w:color="auto" w:fill="F4F6FA"/>
            <w:tcW w:w="2160" w:type="dxa"/>
          </w:tcPr>
          <w:p>
            <w:pPr>
              <w:jc w:val="center"/>
            </w:pPr>
            <w:r>
              <w:rPr>
                <w:sz w:val="19"/>
              </w:rPr>
              <w:t>1.24e−9</w:t>
            </w:r>
          </w:p>
        </w:tc>
        <w:tc>
          <w:tcPr>
            <w:shd w:val="clear" w:color="auto" w:fill="F4F6FA"/>
            <w:tcW w:w="2160" w:type="dxa"/>
          </w:tcPr>
          <w:p>
            <w:pPr>
              <w:jc w:val="center"/>
            </w:pPr>
            <w:r>
              <w:rPr>
                <w:sz w:val="19"/>
              </w:rPr>
              <w:t>2.06e−8</w:t>
            </w:r>
          </w:p>
        </w:tc>
        <w:tc>
          <w:tcPr>
            <w:shd w:val="clear" w:color="auto" w:fill="F4F6FA"/>
            <w:tcW w:w="2160" w:type="dxa"/>
          </w:tcPr>
          <w:p>
            <w:pPr>
              <w:jc w:val="center"/>
            </w:pPr>
            <w:r>
              <w:rPr>
                <w:sz w:val="19"/>
              </w:rPr>
              <w:t>8.00e−8</w:t>
            </w:r>
          </w:p>
        </w:tc>
      </w:tr>
      <w:tr>
        <w:tc>
          <w:tcPr>
            <w:tcW w:w="2520" w:type="dxa"/>
          </w:tcPr>
          <w:p>
            <w:r>
              <w:rPr>
                <w:sz w:val="19"/>
              </w:rPr>
              <w:t>|VtiSat| (7.5 nm)</w:t>
            </w:r>
          </w:p>
        </w:tc>
        <w:tc>
          <w:tcPr>
            <w:tcW w:w="2160" w:type="dxa"/>
          </w:tcPr>
          <w:p>
            <w:pPr>
              <w:jc w:val="center"/>
            </w:pPr>
            <w:r>
              <w:rPr>
                <w:sz w:val="19"/>
              </w:rPr>
              <w:t>0.374 V</w:t>
            </w:r>
          </w:p>
        </w:tc>
        <w:tc>
          <w:tcPr>
            <w:tcW w:w="2160" w:type="dxa"/>
          </w:tcPr>
          <w:p>
            <w:pPr>
              <w:jc w:val="center"/>
            </w:pPr>
            <w:r>
              <w:rPr>
                <w:sz w:val="19"/>
              </w:rPr>
              <w:t>0.263 V</w:t>
            </w:r>
          </w:p>
        </w:tc>
        <w:tc>
          <w:tcPr>
            <w:tcW w:w="2160" w:type="dxa"/>
          </w:tcPr>
          <w:p>
            <w:pPr>
              <w:jc w:val="center"/>
            </w:pPr>
            <w:r>
              <w:rPr>
                <w:sz w:val="19"/>
              </w:rPr>
              <w:t>0.070 V</w:t>
            </w:r>
          </w:p>
        </w:tc>
      </w:tr>
      <w:tr>
        <w:tc>
          <w:tcPr>
            <w:shd w:val="clear" w:color="auto" w:fill="F4F6FA"/>
            <w:tcW w:w="2520" w:type="dxa"/>
          </w:tcPr>
          <w:p>
            <w:r>
              <w:rPr>
                <w:sz w:val="19"/>
              </w:rPr>
              <w:t>|VtiSat| (15 nm)</w:t>
            </w:r>
          </w:p>
        </w:tc>
        <w:tc>
          <w:tcPr>
            <w:shd w:val="clear" w:color="auto" w:fill="F4F6FA"/>
            <w:tcW w:w="2160" w:type="dxa"/>
          </w:tcPr>
          <w:p>
            <w:pPr>
              <w:jc w:val="center"/>
            </w:pPr>
            <w:r>
              <w:rPr>
                <w:sz w:val="19"/>
              </w:rPr>
              <w:t>0.366 V</w:t>
            </w:r>
          </w:p>
        </w:tc>
        <w:tc>
          <w:tcPr>
            <w:shd w:val="clear" w:color="auto" w:fill="F4F6FA"/>
            <w:tcW w:w="2160" w:type="dxa"/>
          </w:tcPr>
          <w:p>
            <w:pPr>
              <w:jc w:val="center"/>
            </w:pPr>
            <w:r>
              <w:rPr>
                <w:sz w:val="19"/>
              </w:rPr>
              <w:t>0.353 V</w:t>
            </w:r>
          </w:p>
        </w:tc>
        <w:tc>
          <w:tcPr>
            <w:shd w:val="clear" w:color="auto" w:fill="F4F6FA"/>
            <w:tcW w:w="2160" w:type="dxa"/>
          </w:tcPr>
          <w:p>
            <w:pPr>
              <w:jc w:val="center"/>
            </w:pPr>
            <w:r>
              <w:rPr>
                <w:sz w:val="19"/>
              </w:rPr>
              <w:t>0.346 V</w:t>
            </w:r>
          </w:p>
        </w:tc>
      </w:tr>
    </w:tbl>
    <w:p/>
    <w:p>
      <w:pPr>
        <w:spacing w:after="120"/>
      </w:pPr>
      <w:r>
        <w:rPr>
          <w:b w:val="0"/>
          <w:i w:val="0"/>
          <w:sz w:val="21"/>
        </w:rPr>
        <w:t>FR = 20 nm까지는 얇은 fin이 우세하지만, FR = 30 nm부터 관계가 역전된다. FR = 35 nm에서 얇은 fin의 SSlin은 기준 대비 2배 이상 악화되고, 누설은 약 60배 증가하며, 문턱전압은 0.07 V까지 붕괴해 사실상 상시 도통 상태가 된다.</w:t>
      </w:r>
    </w:p>
    <w:p>
      <w:pPr>
        <w:spacing w:after="120"/>
      </w:pPr>
      <w:r>
        <w:rPr>
          <w:b/>
          <w:i w:val="0"/>
          <w:sz w:val="21"/>
        </w:rPr>
        <w:t xml:space="preserve">해석. </w:t>
      </w:r>
      <w:r>
        <w:rPr>
          <w:b w:val="0"/>
          <w:i w:val="0"/>
          <w:sz w:val="21"/>
        </w:rPr>
        <w:t>얇은 fin의 이점은 게이트가 감싸는 영역의 정전제어에 한정된다. 리세스가 깊어져 관통 방지층이 제거되면 게이트가 도달하지 못하는 하부에 누설 경로가 열리는데, 이 경로는 fin 폭과 무관하게 게이트의 통제 밖이다. 여기에 응력이 9 ~ 11% 더 높아진 만큼 밴드갭 축소에 의한 터널링 누설도 함께 증가하므로, 얕은 리세스에서의 이점이 상쇄되고 오히려 손실이 커진다.</w:t>
      </w:r>
    </w:p>
    <w:tbl>
      <w:tblPr>
        <w:tblW w:type="auto" w:w="0"/>
        <w:jc w:val="center"/>
        <w:tblLook w:firstColumn="1" w:firstRow="1" w:lastColumn="0" w:lastRow="0" w:noHBand="0" w:noVBand="1" w:val="04A0"/>
      </w:tblPr>
      <w:tblGrid>
        <w:gridCol w:w="9412"/>
      </w:tblGrid>
      <w:tr>
        <w:tc>
          <w:tcPr>
            <w:tcW w:type="dxa" w:w="9412"/>
            <w:shd w:val="clear" w:color="auto" w:fill="EEF3FA"/>
            <w:tcW w:w="9000" w:type="dxa"/>
          </w:tcPr>
          <w:p>
            <w:r>
              <w:rPr>
                <w:b/>
                <w:color w:val="1F3864"/>
                <w:sz w:val="21"/>
              </w:rPr>
              <w:t>핵심 — fin 폭이 줄어들수록 FR 상한은 더 엄격해진다</w:t>
            </w:r>
          </w:p>
          <w:p>
            <w:r>
              <w:rPr>
                <w:sz w:val="21"/>
              </w:rPr>
              <w:t>얇은 fin은 정전제어 절대 수준과 전달 효율을 동시에 개선하지만, 그 이점은 리세스가 얕은 구간에서만 유효하다. 따라서 소자가 미세화될수록 결론 5의 FR 상한을 지키는 것이 더 중요해진다 — 설계창이 넓어지는 것이 아니라 좁아진다.</w:t>
            </w:r>
          </w:p>
        </w:tc>
      </w:tr>
    </w:tbl>
    <w:p/>
    <w:p/>
    <w:p>
      <w:pPr>
        <w:pStyle w:val="Heading1"/>
        <w:spacing w:before="280" w:after="160"/>
      </w:pPr>
      <w:r>
        <w:rPr>
          <w:color w:val="1F3864"/>
          <w:sz w:val="32"/>
        </w:rPr>
        <w:t>IV. 결론 및 시사점</w:t>
      </w:r>
    </w:p>
    <w:p>
      <w:pPr>
        <w:pStyle w:val="Heading2"/>
        <w:spacing w:before="240" w:after="120"/>
      </w:pPr>
      <w:r>
        <w:rPr>
          <w:color w:val="305496"/>
          <w:sz w:val="26"/>
        </w:rPr>
        <w:t>4.1  주요 결론</w:t>
      </w:r>
    </w:p>
    <w:tbl>
      <w:tblPr>
        <w:tblStyle w:val="TableGrid"/>
        <w:tblW w:type="auto" w:w="0"/>
        <w:jc w:val="center"/>
        <w:tblLayout w:type="fixed"/>
        <w:tblLook w:firstColumn="1" w:firstRow="1" w:lastColumn="0" w:lastRow="0" w:noHBand="0" w:noVBand="1" w:val="04A0"/>
      </w:tblPr>
      <w:tblGrid>
        <w:gridCol w:w="450"/>
        <w:gridCol w:w="2700"/>
        <w:gridCol w:w="5850"/>
      </w:tblGrid>
      <w:tr>
        <w:tc>
          <w:tcPr>
            <w:shd w:val="clear" w:color="auto" w:fill="305496"/>
            <w:tcW w:w="450" w:type="dxa"/>
          </w:tcPr>
          <w:p>
            <w:pPr>
              <w:jc w:val="center"/>
            </w:pPr>
            <w:r>
              <w:rPr>
                <w:b/>
                <w:color w:val="FFFFFF"/>
                <w:sz w:val="19"/>
              </w:rPr>
              <w:t>#</w:t>
            </w:r>
          </w:p>
        </w:tc>
        <w:tc>
          <w:tcPr>
            <w:shd w:val="clear" w:color="auto" w:fill="305496"/>
            <w:tcW w:w="2700" w:type="dxa"/>
          </w:tcPr>
          <w:p>
            <w:pPr>
              <w:jc w:val="center"/>
            </w:pPr>
            <w:r>
              <w:rPr>
                <w:b/>
                <w:color w:val="FFFFFF"/>
                <w:sz w:val="19"/>
              </w:rPr>
              <w:t>결론</w:t>
            </w:r>
          </w:p>
        </w:tc>
        <w:tc>
          <w:tcPr>
            <w:shd w:val="clear" w:color="auto" w:fill="305496"/>
            <w:tcW w:w="5850" w:type="dxa"/>
          </w:tcPr>
          <w:p>
            <w:pPr>
              <w:jc w:val="center"/>
            </w:pPr>
            <w:r>
              <w:rPr>
                <w:b/>
                <w:color w:val="FFFFFF"/>
                <w:sz w:val="19"/>
              </w:rPr>
              <w:t>정량적 근거</w:t>
            </w:r>
          </w:p>
        </w:tc>
      </w:tr>
      <w:tr>
        <w:tc>
          <w:tcPr>
            <w:tcW w:w="450" w:type="dxa"/>
          </w:tcPr>
          <w:p>
            <w:r>
              <w:rPr>
                <w:sz w:val="19"/>
              </w:rPr>
              <w:t>1</w:t>
            </w:r>
          </w:p>
        </w:tc>
        <w:tc>
          <w:tcPr>
            <w:tcW w:w="2700" w:type="dxa"/>
          </w:tcPr>
          <w:p>
            <w:pPr>
              <w:jc w:val="center"/>
            </w:pPr>
            <w:r>
              <w:rPr>
                <w:sz w:val="19"/>
              </w:rPr>
              <w:t>응력 전달 효율을 결정하는 변수는 FR이다</w:t>
            </w:r>
          </w:p>
        </w:tc>
        <w:tc>
          <w:tcPr>
            <w:tcW w:w="5850" w:type="dxa"/>
          </w:tcPr>
          <w:p>
            <w:pPr>
              <w:jc w:val="center"/>
            </w:pPr>
            <w:r>
              <w:rPr>
                <w:sz w:val="19"/>
              </w:rPr>
              <w:t>STE 기준 회귀에서 Ge 조성 t = 0.32 (유의하지 않음), FR t = 8.41. FR에 의해 STE 0.593 → 0.677 (약 14% 개선)</w:t>
            </w:r>
          </w:p>
        </w:tc>
      </w:tr>
      <w:tr>
        <w:tc>
          <w:tcPr>
            <w:shd w:val="clear" w:color="auto" w:fill="F4F6FA"/>
            <w:tcW w:w="450" w:type="dxa"/>
          </w:tcPr>
          <w:p>
            <w:r>
              <w:rPr>
                <w:sz w:val="19"/>
              </w:rPr>
              <w:t>2</w:t>
            </w:r>
          </w:p>
        </w:tc>
        <w:tc>
          <w:tcPr>
            <w:shd w:val="clear" w:color="auto" w:fill="F4F6FA"/>
            <w:tcW w:w="2700" w:type="dxa"/>
          </w:tcPr>
          <w:p>
            <w:pPr>
              <w:jc w:val="center"/>
            </w:pPr>
            <w:r>
              <w:rPr>
                <w:sz w:val="19"/>
              </w:rPr>
              <w:t>Ge 조성과 FR은 독립적으로 작용한다</w:t>
            </w:r>
          </w:p>
        </w:tc>
        <w:tc>
          <w:tcPr>
            <w:shd w:val="clear" w:color="auto" w:fill="F4F6FA"/>
            <w:tcW w:w="5850" w:type="dxa"/>
          </w:tcPr>
          <w:p>
            <w:pPr>
              <w:jc w:val="center"/>
            </w:pPr>
            <w:r>
              <w:rPr>
                <w:sz w:val="19"/>
              </w:rPr>
              <w:t>교호작용 항이 절대 응력 기준 |t| = 1.57, STE 기준 |t| = 0.82로 두 기준 모두 유의하지 않음</w:t>
            </w:r>
          </w:p>
        </w:tc>
      </w:tr>
      <w:tr>
        <w:tc>
          <w:tcPr>
            <w:tcW w:w="450" w:type="dxa"/>
          </w:tcPr>
          <w:p>
            <w:r>
              <w:rPr>
                <w:sz w:val="19"/>
              </w:rPr>
              <w:t>3</w:t>
            </w:r>
          </w:p>
        </w:tc>
        <w:tc>
          <w:tcPr>
            <w:tcW w:w="2700" w:type="dxa"/>
          </w:tcPr>
          <w:p>
            <w:pPr>
              <w:jc w:val="center"/>
            </w:pPr>
            <w:r>
              <w:rPr>
                <w:sz w:val="19"/>
              </w:rPr>
              <w:t>Ge 조성은 테스트 범위 전체에서 절대 성능에 유효하다</w:t>
            </w:r>
          </w:p>
        </w:tc>
        <w:tc>
          <w:tcPr>
            <w:tcW w:w="5850" w:type="dxa"/>
          </w:tcPr>
          <w:p>
            <w:pPr>
              <w:jc w:val="center"/>
            </w:pPr>
            <w:r>
              <w:rPr>
                <w:sz w:val="19"/>
              </w:rPr>
              <w:t>응력 −1.346 → −3.210 GPa, gmSat 9.58e−5 → 1.14e−4, IdSat_norm 4.72e−4 → 6.32e−4 (전부 단조 증가, 포화 없음)</w:t>
            </w:r>
          </w:p>
        </w:tc>
      </w:tr>
      <w:tr>
        <w:tc>
          <w:tcPr>
            <w:shd w:val="clear" w:color="auto" w:fill="F4F6FA"/>
            <w:tcW w:w="450" w:type="dxa"/>
          </w:tcPr>
          <w:p>
            <w:r>
              <w:rPr>
                <w:sz w:val="19"/>
              </w:rPr>
              <w:t>4</w:t>
            </w:r>
          </w:p>
        </w:tc>
        <w:tc>
          <w:tcPr>
            <w:shd w:val="clear" w:color="auto" w:fill="F4F6FA"/>
            <w:tcW w:w="2700" w:type="dxa"/>
          </w:tcPr>
          <w:p>
            <w:pPr>
              <w:jc w:val="center"/>
            </w:pPr>
            <w:r>
              <w:rPr>
                <w:sz w:val="19"/>
              </w:rPr>
              <w:t>Ge 조성의 비용은 누설로 국한된다</w:t>
            </w:r>
          </w:p>
        </w:tc>
        <w:tc>
          <w:tcPr>
            <w:shd w:val="clear" w:color="auto" w:fill="F4F6FA"/>
            <w:tcW w:w="5850" w:type="dxa"/>
          </w:tcPr>
          <w:p>
            <w:pPr>
              <w:jc w:val="center"/>
            </w:pPr>
            <w:r>
              <w:rPr>
                <w:sz w:val="19"/>
              </w:rPr>
              <w:t>형상 동일 조건에서 SSlin·DIBL 불변, Ioff만 약 6배 증가</w:t>
            </w:r>
          </w:p>
        </w:tc>
      </w:tr>
      <w:tr>
        <w:tc>
          <w:tcPr>
            <w:tcW w:w="450" w:type="dxa"/>
          </w:tcPr>
          <w:p>
            <w:r>
              <w:rPr>
                <w:sz w:val="19"/>
              </w:rPr>
              <w:t>5</w:t>
            </w:r>
          </w:p>
        </w:tc>
        <w:tc>
          <w:tcPr>
            <w:tcW w:w="2700" w:type="dxa"/>
          </w:tcPr>
          <w:p>
            <w:pPr>
              <w:jc w:val="center"/>
            </w:pPr>
            <w:r>
              <w:rPr>
                <w:sz w:val="19"/>
              </w:rPr>
              <w:t>FR의 실용 상한은 약 20 nm이다</w:t>
            </w:r>
          </w:p>
        </w:tc>
        <w:tc>
          <w:tcPr>
            <w:tcW w:w="5850" w:type="dxa"/>
          </w:tcPr>
          <w:p>
            <w:pPr>
              <w:jc w:val="center"/>
            </w:pPr>
            <w:r>
              <w:rPr>
                <w:sz w:val="19"/>
              </w:rPr>
              <w:t>이득/대가 비율(nm당 STE 이득 ÷ nm당 SSlin 손실)이 FR 15→20 구간 2.91에서 20→22 구간 0.38로 7.6배 급락. gmSat도 FR 20 nm에서 최댓값을 기록한 뒤 감소</w:t>
            </w:r>
          </w:p>
        </w:tc>
      </w:tr>
      <w:tr>
        <w:tc>
          <w:tcPr>
            <w:shd w:val="clear" w:color="auto" w:fill="F4F6FA"/>
            <w:tcW w:w="450" w:type="dxa"/>
          </w:tcPr>
          <w:p>
            <w:r>
              <w:rPr>
                <w:sz w:val="19"/>
              </w:rPr>
              <w:t>6</w:t>
            </w:r>
          </w:p>
        </w:tc>
        <w:tc>
          <w:tcPr>
            <w:shd w:val="clear" w:color="auto" w:fill="F4F6FA"/>
            <w:tcW w:w="2700" w:type="dxa"/>
          </w:tcPr>
          <w:p>
            <w:pPr>
              <w:jc w:val="center"/>
            </w:pPr>
            <w:r>
              <w:rPr>
                <w:sz w:val="19"/>
              </w:rPr>
              <w:t>응력 최댓값 지점은 최적 설계점이 아니다</w:t>
            </w:r>
          </w:p>
        </w:tc>
        <w:tc>
          <w:tcPr>
            <w:shd w:val="clear" w:color="auto" w:fill="F4F6FA"/>
            <w:tcW w:w="5850" w:type="dxa"/>
          </w:tcPr>
          <w:p>
            <w:pPr>
              <w:jc w:val="center"/>
            </w:pPr>
            <w:r>
              <w:rPr>
                <w:sz w:val="19"/>
              </w:rPr>
              <w:t>Ge 70% · FR 30 nm가 응력 최댓값(−3.560 GPa)이나 해당 구간은 이미 정전제어 열화 영역</w:t>
            </w:r>
          </w:p>
        </w:tc>
      </w:tr>
      <w:tr>
        <w:tc>
          <w:tcPr>
            <w:tcW w:w="450" w:type="dxa"/>
          </w:tcPr>
          <w:p>
            <w:r>
              <w:rPr>
                <w:sz w:val="19"/>
              </w:rPr>
              <w:t>7</w:t>
            </w:r>
          </w:p>
        </w:tc>
        <w:tc>
          <w:tcPr>
            <w:tcW w:w="2700" w:type="dxa"/>
          </w:tcPr>
          <w:p>
            <w:pPr>
              <w:jc w:val="center"/>
            </w:pPr>
            <w:r>
              <w:rPr>
                <w:sz w:val="19"/>
              </w:rPr>
              <w:t>fin 폭이 줄어들수록 FR 상한은 더 엄격해진다</w:t>
            </w:r>
          </w:p>
        </w:tc>
        <w:tc>
          <w:tcPr>
            <w:tcW w:w="5850" w:type="dxa"/>
          </w:tcPr>
          <w:p>
            <w:pPr>
              <w:jc w:val="center"/>
            </w:pPr>
            <w:r>
              <w:rPr>
                <w:sz w:val="19"/>
              </w:rPr>
              <w:t>fin 폭 절반(7.5 nm)에서 FR ≤ 20 nm는 SSlin 65~66, DIBL 60% 감소, STE +10%로 전면 개선되나, FR = 35 nm에서는 SSlin 2배 악화·누설 약 60배·|VtiSat| 0.07 V 붕괴로 역전</w:t>
            </w:r>
          </w:p>
        </w:tc>
      </w:tr>
    </w:tbl>
    <w:p/>
    <w:p>
      <w:pPr>
        <w:pStyle w:val="Heading2"/>
        <w:spacing w:before="240" w:after="120"/>
      </w:pPr>
      <w:r>
        <w:rPr>
          <w:color w:val="305496"/>
          <w:sz w:val="26"/>
        </w:rPr>
        <w:t>4.2  공정 설계 가이드라인</w:t>
      </w:r>
    </w:p>
    <w:tbl>
      <w:tblPr>
        <w:tblStyle w:val="TableGrid"/>
        <w:tblW w:type="auto" w:w="0"/>
        <w:jc w:val="center"/>
        <w:tblLayout w:type="fixed"/>
        <w:tblLook w:firstColumn="1" w:firstRow="1" w:lastColumn="0" w:lastRow="0" w:noHBand="0" w:noVBand="1" w:val="04A0"/>
      </w:tblPr>
      <w:tblGrid>
        <w:gridCol w:w="2880"/>
        <w:gridCol w:w="1620"/>
        <w:gridCol w:w="2160"/>
        <w:gridCol w:w="2340"/>
      </w:tblGrid>
      <w:tr>
        <w:tc>
          <w:tcPr>
            <w:shd w:val="clear" w:color="auto" w:fill="305496"/>
            <w:tcW w:w="2880" w:type="dxa"/>
          </w:tcPr>
          <w:p>
            <w:pPr>
              <w:jc w:val="center"/>
            </w:pPr>
            <w:r>
              <w:rPr>
                <w:b/>
                <w:color w:val="FFFFFF"/>
                <w:sz w:val="19"/>
              </w:rPr>
              <w:t>설계 목표</w:t>
            </w:r>
          </w:p>
        </w:tc>
        <w:tc>
          <w:tcPr>
            <w:shd w:val="clear" w:color="auto" w:fill="305496"/>
            <w:tcW w:w="1620" w:type="dxa"/>
          </w:tcPr>
          <w:p>
            <w:pPr>
              <w:jc w:val="center"/>
            </w:pPr>
            <w:r>
              <w:rPr>
                <w:b/>
                <w:color w:val="FFFFFF"/>
                <w:sz w:val="19"/>
              </w:rPr>
              <w:t>조절 변수</w:t>
            </w:r>
          </w:p>
        </w:tc>
        <w:tc>
          <w:tcPr>
            <w:shd w:val="clear" w:color="auto" w:fill="305496"/>
            <w:tcW w:w="2160" w:type="dxa"/>
          </w:tcPr>
          <w:p>
            <w:pPr>
              <w:jc w:val="center"/>
            </w:pPr>
            <w:r>
              <w:rPr>
                <w:b/>
                <w:color w:val="FFFFFF"/>
                <w:sz w:val="19"/>
              </w:rPr>
              <w:t>권장 범위</w:t>
            </w:r>
          </w:p>
        </w:tc>
        <w:tc>
          <w:tcPr>
            <w:shd w:val="clear" w:color="auto" w:fill="305496"/>
            <w:tcW w:w="2340" w:type="dxa"/>
          </w:tcPr>
          <w:p>
            <w:pPr>
              <w:jc w:val="center"/>
            </w:pPr>
            <w:r>
              <w:rPr>
                <w:b/>
                <w:color w:val="FFFFFF"/>
                <w:sz w:val="19"/>
              </w:rPr>
              <w:t>근거</w:t>
            </w:r>
          </w:p>
        </w:tc>
      </w:tr>
      <w:tr>
        <w:tc>
          <w:tcPr>
            <w:tcW w:w="2880" w:type="dxa"/>
          </w:tcPr>
          <w:p>
            <w:r>
              <w:rPr>
                <w:sz w:val="19"/>
              </w:rPr>
              <w:t>채널 응력의 절대량 확보</w:t>
            </w:r>
          </w:p>
        </w:tc>
        <w:tc>
          <w:tcPr>
            <w:tcW w:w="1620" w:type="dxa"/>
          </w:tcPr>
          <w:p>
            <w:pPr>
              <w:jc w:val="center"/>
            </w:pPr>
            <w:r>
              <w:rPr>
                <w:sz w:val="19"/>
              </w:rPr>
              <w:t>Ge 조성</w:t>
            </w:r>
          </w:p>
        </w:tc>
        <w:tc>
          <w:tcPr>
            <w:tcW w:w="2160" w:type="dxa"/>
          </w:tcPr>
          <w:p>
            <w:pPr>
              <w:jc w:val="center"/>
            </w:pPr>
            <w:r>
              <w:rPr>
                <w:sz w:val="19"/>
              </w:rPr>
              <w:t>테스트 범위 내 상향</w:t>
            </w:r>
          </w:p>
        </w:tc>
        <w:tc>
          <w:tcPr>
            <w:tcW w:w="2340" w:type="dxa"/>
          </w:tcPr>
          <w:p>
            <w:pPr>
              <w:jc w:val="center"/>
            </w:pPr>
            <w:r>
              <w:rPr>
                <w:sz w:val="19"/>
              </w:rPr>
              <w:t>결론 3</w:t>
            </w:r>
          </w:p>
        </w:tc>
      </w:tr>
      <w:tr>
        <w:tc>
          <w:tcPr>
            <w:shd w:val="clear" w:color="auto" w:fill="F4F6FA"/>
            <w:tcW w:w="2880" w:type="dxa"/>
          </w:tcPr>
          <w:p>
            <w:r>
              <w:rPr>
                <w:sz w:val="19"/>
              </w:rPr>
              <w:t>투입 응력의 전달 효율 확보</w:t>
            </w:r>
          </w:p>
        </w:tc>
        <w:tc>
          <w:tcPr>
            <w:shd w:val="clear" w:color="auto" w:fill="F4F6FA"/>
            <w:tcW w:w="1620" w:type="dxa"/>
          </w:tcPr>
          <w:p>
            <w:pPr>
              <w:jc w:val="center"/>
            </w:pPr>
            <w:r>
              <w:rPr>
                <w:sz w:val="19"/>
              </w:rPr>
              <w:t>FR</w:t>
            </w:r>
          </w:p>
        </w:tc>
        <w:tc>
          <w:tcPr>
            <w:shd w:val="clear" w:color="auto" w:fill="F4F6FA"/>
            <w:tcW w:w="2160" w:type="dxa"/>
          </w:tcPr>
          <w:p>
            <w:pPr>
              <w:jc w:val="center"/>
            </w:pPr>
            <w:r>
              <w:rPr>
                <w:sz w:val="19"/>
              </w:rPr>
              <w:t>15 ~ 20 nm</w:t>
            </w:r>
          </w:p>
        </w:tc>
        <w:tc>
          <w:tcPr>
            <w:shd w:val="clear" w:color="auto" w:fill="F4F6FA"/>
            <w:tcW w:w="2340" w:type="dxa"/>
          </w:tcPr>
          <w:p>
            <w:pPr>
              <w:jc w:val="center"/>
            </w:pPr>
            <w:r>
              <w:rPr>
                <w:sz w:val="19"/>
              </w:rPr>
              <w:t>결론 1, 5</w:t>
            </w:r>
          </w:p>
        </w:tc>
      </w:tr>
      <w:tr>
        <w:tc>
          <w:tcPr>
            <w:tcW w:w="2880" w:type="dxa"/>
          </w:tcPr>
          <w:p>
            <w:r>
              <w:rPr>
                <w:sz w:val="19"/>
              </w:rPr>
              <w:t>누설 억제</w:t>
            </w:r>
          </w:p>
        </w:tc>
        <w:tc>
          <w:tcPr>
            <w:tcW w:w="1620" w:type="dxa"/>
          </w:tcPr>
          <w:p>
            <w:pPr>
              <w:jc w:val="center"/>
            </w:pPr>
            <w:r>
              <w:rPr>
                <w:sz w:val="19"/>
              </w:rPr>
              <w:t>Ge 조성</w:t>
            </w:r>
          </w:p>
        </w:tc>
        <w:tc>
          <w:tcPr>
            <w:tcW w:w="2160" w:type="dxa"/>
          </w:tcPr>
          <w:p>
            <w:pPr>
              <w:jc w:val="center"/>
            </w:pPr>
            <w:r>
              <w:rPr>
                <w:sz w:val="19"/>
              </w:rPr>
              <w:t>상향 폭 제한</w:t>
            </w:r>
          </w:p>
        </w:tc>
        <w:tc>
          <w:tcPr>
            <w:tcW w:w="2340" w:type="dxa"/>
          </w:tcPr>
          <w:p>
            <w:pPr>
              <w:jc w:val="center"/>
            </w:pPr>
            <w:r>
              <w:rPr>
                <w:sz w:val="19"/>
              </w:rPr>
              <w:t>결론 4</w:t>
            </w:r>
          </w:p>
        </w:tc>
      </w:tr>
      <w:tr>
        <w:tc>
          <w:tcPr>
            <w:shd w:val="clear" w:color="auto" w:fill="F4F6FA"/>
            <w:tcW w:w="2880" w:type="dxa"/>
          </w:tcPr>
          <w:p>
            <w:r>
              <w:rPr>
                <w:sz w:val="19"/>
              </w:rPr>
              <w:t>게이트 정전제어 확보</w:t>
            </w:r>
          </w:p>
        </w:tc>
        <w:tc>
          <w:tcPr>
            <w:shd w:val="clear" w:color="auto" w:fill="F4F6FA"/>
            <w:tcW w:w="1620" w:type="dxa"/>
          </w:tcPr>
          <w:p>
            <w:pPr>
              <w:jc w:val="center"/>
            </w:pPr>
            <w:r>
              <w:rPr>
                <w:sz w:val="19"/>
              </w:rPr>
              <w:t>FR</w:t>
            </w:r>
          </w:p>
        </w:tc>
        <w:tc>
          <w:tcPr>
            <w:shd w:val="clear" w:color="auto" w:fill="F4F6FA"/>
            <w:tcW w:w="2160" w:type="dxa"/>
          </w:tcPr>
          <w:p>
            <w:pPr>
              <w:jc w:val="center"/>
            </w:pPr>
            <w:r>
              <w:rPr>
                <w:sz w:val="19"/>
              </w:rPr>
              <w:t>20 nm 초과 금지</w:t>
            </w:r>
          </w:p>
        </w:tc>
        <w:tc>
          <w:tcPr>
            <w:shd w:val="clear" w:color="auto" w:fill="F4F6FA"/>
            <w:tcW w:w="2340" w:type="dxa"/>
          </w:tcPr>
          <w:p>
            <w:pPr>
              <w:jc w:val="center"/>
            </w:pPr>
            <w:r>
              <w:rPr>
                <w:sz w:val="19"/>
              </w:rPr>
              <w:t>결론 5</w:t>
            </w:r>
          </w:p>
        </w:tc>
      </w:tr>
    </w:tbl>
    <w:p/>
    <w:p>
      <w:pPr>
        <w:spacing w:after="120"/>
      </w:pPr>
      <w:r>
        <w:rPr>
          <w:b w:val="0"/>
          <w:i w:val="0"/>
          <w:sz w:val="21"/>
        </w:rPr>
        <w:t>결론 2에 따라 두 변수는 서로 간섭하지 않으므로, 위 항목들은 순차적·독립적으로 최적화할 수 있다. 이는 공정 개발 시 한 변수의 조정이 다른 변수의 최적점을 이동시키지 않음을 의미하며, 설계 자유도가 확보된다.</w:t>
      </w:r>
    </w:p>
    <w:p>
      <w:pPr>
        <w:pStyle w:val="Heading2"/>
        <w:spacing w:before="240" w:after="120"/>
      </w:pPr>
      <w:r>
        <w:rPr>
          <w:color w:val="305496"/>
          <w:sz w:val="26"/>
        </w:rPr>
        <w:t>4.3  방법론적 시사점</w:t>
      </w:r>
    </w:p>
    <w:p>
      <w:pPr>
        <w:spacing w:after="120"/>
      </w:pPr>
      <w:r>
        <w:rPr>
          <w:b w:val="0"/>
          <w:i w:val="0"/>
          <w:sz w:val="21"/>
        </w:rPr>
        <w:t xml:space="preserve">본 연구가 제시하는 가장 일반화 가능한 결과는 특정 공정 조건이 아니라 </w:t>
      </w:r>
      <w:r>
        <w:rPr>
          <w:b/>
          <w:i w:val="0"/>
          <w:sz w:val="21"/>
        </w:rPr>
        <w:t>응력공학 데이터의 해석 방식</w:t>
      </w:r>
      <w:r>
        <w:rPr>
          <w:b w:val="0"/>
          <w:i w:val="0"/>
          <w:sz w:val="21"/>
        </w:rPr>
        <w:t>에 있다.</w:t>
      </w:r>
    </w:p>
    <w:p>
      <w:pPr>
        <w:spacing w:after="120"/>
      </w:pPr>
      <w:r>
        <w:rPr>
          <w:b/>
          <w:i w:val="0"/>
          <w:sz w:val="21"/>
        </w:rPr>
        <w:t xml:space="preserve">정규화 여부가 지배 변수를 바꾼다. </w:t>
      </w:r>
      <w:r>
        <w:rPr>
          <w:b w:val="0"/>
          <w:i w:val="0"/>
          <w:sz w:val="21"/>
        </w:rPr>
        <w:t>동일한 25 격자점 데이터에서, 절대 응력으로 관찰하면 Ge 조성이 지배 변수(t = −61.78)이고 STE로 정규화하면 FR이 지배 변수(t = 8.41)가 된다. 두 지도의 등고선이 90도 회전한다. 절대 응력만 관찰했다면 "Ge 조성이 지배적이고 형상 변수는 부차적"이라는 결론에 도달했을 것이며, 이는 틀린 결론은 아니지만 두 변수의 역할 분담을 놓친 해석이다.</w:t>
      </w:r>
    </w:p>
    <w:p>
      <w:pPr>
        <w:spacing w:after="120"/>
      </w:pPr>
      <w:r>
        <w:rPr>
          <w:b/>
          <w:i w:val="0"/>
          <w:sz w:val="21"/>
        </w:rPr>
        <w:t xml:space="preserve">응력 지도의 최댓값은 설계 목표가 아니다. </w:t>
      </w:r>
      <w:r>
        <w:rPr>
          <w:b w:val="0"/>
          <w:i w:val="0"/>
          <w:sz w:val="21"/>
        </w:rPr>
        <w:t xml:space="preserve">응력·정전제어·누설이 서로 다른 지점에서 최적을 갖기 때문에, 단일 지표의 최댓값을 좇으면 실사용 성능이 저하된다. 설계창은 최댓값이 아니라 </w:t>
      </w:r>
      <w:r>
        <w:rPr>
          <w:b/>
          <w:i w:val="0"/>
          <w:sz w:val="21"/>
        </w:rPr>
        <w:t>효율이 포화하는 지점과 대가가 급증하는 지점 사이</w:t>
      </w:r>
      <w:r>
        <w:rPr>
          <w:b w:val="0"/>
          <w:i w:val="0"/>
          <w:sz w:val="21"/>
        </w:rPr>
        <w:t>에서 결정되어야 한다.</w:t>
      </w:r>
    </w:p>
    <w:p>
      <w:pPr>
        <w:pStyle w:val="Heading2"/>
        <w:spacing w:before="240" w:after="120"/>
      </w:pPr>
      <w:r>
        <w:rPr>
          <w:color w:val="305496"/>
          <w:sz w:val="26"/>
        </w:rPr>
        <w:t>4.4  적용 범위</w:t>
      </w:r>
    </w:p>
    <w:p>
      <w:pPr>
        <w:pStyle w:val="ListBullet"/>
        <w:spacing w:after="60"/>
      </w:pPr>
      <w:r>
        <w:rPr>
          <w:b/>
          <w:i w:val="0"/>
          <w:sz w:val="21"/>
        </w:rPr>
        <w:t xml:space="preserve">테스트 범위: </w:t>
      </w:r>
      <w:r>
        <w:rPr>
          <w:b w:val="0"/>
          <w:i w:val="0"/>
          <w:sz w:val="21"/>
        </w:rPr>
        <w:t>Ge 조성 30 ~ 70%, FR 0 ~ 35 nm. 범위 밖 외삽은 유효하지 않다. 특히 Ge 축은 70%에서도 포화가 관찰되지 않아 상한이 특정되지 않은 상태다.</w:t>
      </w:r>
    </w:p>
    <w:p>
      <w:pPr>
        <w:pStyle w:val="ListBullet"/>
        <w:spacing w:after="60"/>
      </w:pPr>
      <w:r>
        <w:rPr>
          <w:b/>
          <w:i w:val="0"/>
          <w:sz w:val="21"/>
        </w:rPr>
        <w:t xml:space="preserve">STE 절대값의 기준: </w:t>
      </w:r>
      <w:r>
        <w:rPr>
          <w:b w:val="0"/>
          <w:i w:val="0"/>
          <w:sz w:val="21"/>
        </w:rPr>
        <w:t>이축탄성계수 M = 180 GPa 가정에 비례한다. 지도의 형태와 지배 변수 판정은 M에 무관하나, 절대 수치 인용 시 이 가정을 명시해야 한다.</w:t>
      </w:r>
    </w:p>
    <w:p>
      <w:pPr>
        <w:pStyle w:val="ListBullet"/>
        <w:spacing w:after="60"/>
      </w:pPr>
      <w:r>
        <w:rPr>
          <w:b/>
          <w:i w:val="0"/>
          <w:sz w:val="21"/>
        </w:rPr>
        <w:t xml:space="preserve">정전제어 절대 수준(검증 완료): </w:t>
      </w:r>
      <w:r>
        <w:rPr>
          <w:b w:val="0"/>
          <w:i w:val="0"/>
          <w:sz w:val="21"/>
        </w:rPr>
        <w:t>본 구조의 fin 폭(15 nm)은 게이트 길이(25 nm) 대비 60%로 두꺼워 SSlin 절대값이 76 ~ 80 mV/dec로 나타나지만, 3.5절에서 fin 폭을 절반으로 줄여 SSlin 65 ~ 66 mV/dec, DIBL 약 60% 감소를 확인했다. 즉 절대 수준은 소자·모델의 결함이 아니라 fin 폭 대 게이트 길이 비율에 따른 구조적 결과이며, 본 보고서의 상대적 경향과 결론은 이 비율에 의존하지 않는다.</w:t>
      </w:r>
    </w:p>
    <w:p>
      <w:pPr>
        <w:pStyle w:val="ListBullet"/>
        <w:spacing w:after="60"/>
      </w:pPr>
      <w:r>
        <w:rPr>
          <w:b/>
          <w:i w:val="0"/>
          <w:sz w:val="21"/>
        </w:rPr>
        <w:t xml:space="preserve">구동전류의 국소 산포: </w:t>
      </w:r>
      <w:r>
        <w:rPr>
          <w:b w:val="0"/>
          <w:i w:val="0"/>
          <w:sz w:val="21"/>
        </w:rPr>
        <w:t>IdSat_norm은 FR 20 → 22 nm 구간에서 0.6% 감소했다가 30 nm에서 다시 증가하는 비단조 거동을 보인다. STE·SSlin·DIBL이 모두 단조인 점을 고려하면 격자 해상도 수준의 수치 산포로 판단되며, 설계창 판정(이득/대가 비율)은 이 산포에 의존하지 않는다.</w:t>
      </w:r>
    </w:p>
    <w:p/>
    <w:p>
      <w:pPr>
        <w:pStyle w:val="Heading1"/>
        <w:spacing w:before="280" w:after="160"/>
      </w:pPr>
      <w:r>
        <w:rPr>
          <w:color w:val="1F3864"/>
          <w:sz w:val="32"/>
        </w:rPr>
        <w:t>V. 산업적 기여</w:t>
      </w:r>
    </w:p>
    <w:p>
      <w:pPr>
        <w:pStyle w:val="Heading2"/>
        <w:spacing w:before="240" w:after="120"/>
      </w:pPr>
      <w:r>
        <w:rPr>
          <w:color w:val="305496"/>
          <w:sz w:val="26"/>
        </w:rPr>
        <w:t>5.1  GAA 전환기에서 응력공학의 위상</w:t>
      </w:r>
    </w:p>
    <w:p>
      <w:pPr>
        <w:spacing w:after="120"/>
      </w:pPr>
      <w:r>
        <w:rPr>
          <w:b w:val="0"/>
          <w:i w:val="0"/>
          <w:sz w:val="21"/>
        </w:rPr>
        <w:t>소자 구조가 FinFET에서 GAA(Gate-All-Around) 나노시트로 전환되고 있으나, Embedded SiGe Source/Drain 응력공학은 폐기되는 것이 아니라 오히려 비중이 커지고 있다. 나노시트 구조에서는 채널이 게이트에 완전히 둘러싸여 정전제어가 개선되는 대신, 채널 두께가 얇아지면서 이동도 확보 수단으로서 응력의 역할이 상대적으로 중요해지기 때문이다. 실제로 최근의 GAA 관련 기술 개발은 나노시트 내 Ge 농도 프로파일 설계, SiGe 클래딩 구조 등 응력원의 배치와 조성을 정교화하는 방향으로 진행되고 있다.</w:t>
      </w:r>
    </w:p>
    <w:p>
      <w:pPr>
        <w:pStyle w:val="Heading2"/>
        <w:spacing w:before="240" w:after="120"/>
      </w:pPr>
      <w:r>
        <w:rPr>
          <w:color w:val="305496"/>
          <w:sz w:val="26"/>
        </w:rPr>
        <w:t>5.2  본 연구가 다룬 문제의 구조적 동형성</w:t>
      </w:r>
    </w:p>
    <w:p>
      <w:pPr>
        <w:spacing w:after="120"/>
      </w:pPr>
      <w:r>
        <w:rPr>
          <w:b w:val="0"/>
          <w:i w:val="0"/>
          <w:sz w:val="21"/>
        </w:rPr>
        <w:t xml:space="preserve">GAA 나노시트 응력공학에서 현재 지적되는 핵심 병목은, </w:t>
      </w:r>
      <w:r>
        <w:rPr>
          <w:b/>
          <w:i w:val="0"/>
          <w:sz w:val="21"/>
        </w:rPr>
        <w:t>채널에 충분한 응력을 전달하려면 S/D 에피 부피를 키워야 하는데, 그 부피 증가가 기생 저항·용량을 악화시켜 구동전류 이득을 상쇄한다</w:t>
      </w:r>
      <w:r>
        <w:rPr>
          <w:b w:val="0"/>
          <w:i w:val="0"/>
          <w:sz w:val="21"/>
        </w:rPr>
        <w:t>는 점이다. 즉 응력원을 키우는 행위 자체가 대가를 수반하는 구조다.</w:t>
      </w:r>
    </w:p>
    <w:p>
      <w:pPr>
        <w:spacing w:after="120"/>
      </w:pPr>
      <w:r>
        <w:rPr>
          <w:b w:val="0"/>
          <w:i w:val="0"/>
          <w:sz w:val="21"/>
        </w:rPr>
        <w:t xml:space="preserve">본 연구가 FR 축에서 관찰한 것이 정확히 이 구조다. 리세스를 깊게 형성하면 응력원의 부피와 채널 접촉 면적이 늘어 전달 효율이 개선되지만, 동일한 형상 변화가 정전제어와 누설을 악화시킨다. 그리고 본 연구의 결과는 이 상충 구조에서 </w:t>
      </w:r>
      <w:r>
        <w:rPr>
          <w:b/>
          <w:i w:val="0"/>
          <w:sz w:val="21"/>
        </w:rPr>
        <w:t>효율의 이득이 먼저 포화하고 대가는 이후에 급증한다</w:t>
      </w:r>
      <w:r>
        <w:rPr>
          <w:b w:val="0"/>
          <w:i w:val="0"/>
          <w:sz w:val="21"/>
        </w:rPr>
        <w:t>는 비대칭성을 보인다 — 전달 효율의 한계 이득과 정전제어의 한계 손실의 비가 FR 20 nm를 경계로 7.6배 급락한다. 따라서 응력원을 최대로 키우는 설계는 원리적으로 최적일 수 없으며, 이 비대칭성을 정량화하면 구조가 달라져도 동일한 방식으로 상한을 특정할 수 있다.</w:t>
      </w:r>
    </w:p>
    <w:p>
      <w:pPr>
        <w:pStyle w:val="Heading2"/>
        <w:spacing w:before="240" w:after="120"/>
      </w:pPr>
      <w:r>
        <w:rPr>
          <w:color w:val="305496"/>
          <w:sz w:val="26"/>
        </w:rPr>
        <w:t>5.3  미세화 방향과의 정합성 — 설계창은 넓어지지 않고 좁아진다</w:t>
      </w:r>
    </w:p>
    <w:p>
      <w:pPr>
        <w:spacing w:after="120"/>
      </w:pPr>
      <w:r>
        <w:rPr>
          <w:b w:val="0"/>
          <w:i w:val="0"/>
          <w:sz w:val="21"/>
        </w:rPr>
        <w:t>GAA 나노시트로의 전환은 채널 몸체를 더 얇게 만드는 방향이다. 나노시트 두께는 FinFET의 fin 폭에 대응하는 치수이며, 양산 노드에서는 수 nm 수준까지 축소된다. 따라서 "채널 몸체가 얇아지면 응력공학의 설계 여유가 어떻게 변하는가"는 산업적으로 직접적인 질문이다.</w:t>
      </w:r>
    </w:p>
    <w:p>
      <w:pPr>
        <w:spacing w:after="120"/>
      </w:pPr>
      <w:r>
        <w:rPr>
          <w:b w:val="0"/>
          <w:i w:val="0"/>
          <w:sz w:val="21"/>
        </w:rPr>
        <w:t>3.5절의 결과는 이 질문에 두 가지 답을 준다.</w:t>
      </w:r>
    </w:p>
    <w:p>
      <w:pPr>
        <w:pStyle w:val="ListBullet"/>
        <w:spacing w:after="60"/>
      </w:pPr>
      <w:r>
        <w:rPr>
          <w:b/>
          <w:i w:val="0"/>
          <w:sz w:val="21"/>
        </w:rPr>
        <w:t xml:space="preserve">얕은 리세스 구간에서는 미세화가 전면적으로 유리하다. </w:t>
      </w:r>
      <w:r>
        <w:rPr>
          <w:b w:val="0"/>
          <w:i w:val="0"/>
          <w:sz w:val="21"/>
        </w:rPr>
        <w:t>fin 폭을 절반으로 줄이면 정전제어(SSlin 65 ~ 66 mV/dec, DIBL 60% 감소)와 전달 효율(STE +10%)이 동시에 개선된다. 응력공학과 미세화가 상충하지 않는 구간이 존재한다는 뜻이다.</w:t>
      </w:r>
    </w:p>
    <w:p>
      <w:pPr>
        <w:pStyle w:val="ListBullet"/>
        <w:spacing w:after="60"/>
      </w:pPr>
      <w:r>
        <w:rPr>
          <w:b/>
          <w:i w:val="0"/>
          <w:sz w:val="21"/>
        </w:rPr>
        <w:t xml:space="preserve">그러나 그 이점은 리세스 상한을 넘기면 즉시 소멸한다. </w:t>
      </w:r>
      <w:r>
        <w:rPr>
          <w:b w:val="0"/>
          <w:i w:val="0"/>
          <w:sz w:val="21"/>
        </w:rPr>
        <w:t>FR = 30 nm 이상에서는 얇은 fin이 오히려 불리해지고, FR = 35 nm에서는 문턱전압이 0.07 V까지 붕괴한다. 게이트가 감싸는 영역 밖에 열린 누설 경로는 채널 몸체를 얇게 만드는 것으로 통제되지 않기 때문이다.</w:t>
      </w:r>
    </w:p>
    <w:p>
      <w:pPr>
        <w:spacing w:after="120"/>
      </w:pPr>
      <w:r>
        <w:rPr>
          <w:b w:val="0"/>
          <w:i w:val="0"/>
          <w:sz w:val="21"/>
        </w:rPr>
        <w:t xml:space="preserve">이는 산업적으로 다음을 시사한다. </w:t>
      </w:r>
      <w:r>
        <w:rPr>
          <w:b/>
          <w:i w:val="0"/>
          <w:sz w:val="21"/>
        </w:rPr>
        <w:t>응력원을 키워 성능을 확보하는 여유는 소자가 미세화될수록 넓어지는 것이 아니라 좁아진다.</w:t>
      </w:r>
      <w:r>
        <w:rPr>
          <w:b w:val="0"/>
          <w:i w:val="0"/>
          <w:sz w:val="21"/>
        </w:rPr>
        <w:t xml:space="preserve"> 채널이 얇아질수록 얕은 리세스에서 얻는 이득은 커지지만, 상한을 넘겼을 때의 대가도 함께 커지기 때문이다. 따라서 미세 노드에서는 응력원의 크기를 키우는 방향보다, 정해진 상한 안에서 전달 효율을 높이는 방향의 설계가 상대적으로 더 유효해진다. 이는 5.2절에서 언급한 S/D 에피 부피 확대와 기생 RC의 상충이 미세 노드에서 더 첨예해지는 것과 같은 맥락이다.</w:t>
      </w:r>
    </w:p>
    <w:p>
      <w:pPr>
        <w:pStyle w:val="Heading2"/>
        <w:spacing w:before="240" w:after="120"/>
      </w:pPr>
      <w:r>
        <w:rPr>
          <w:color w:val="305496"/>
          <w:sz w:val="26"/>
        </w:rPr>
        <w:t>5.4  이전 가능한 결과</w:t>
      </w:r>
    </w:p>
    <w:p>
      <w:pPr>
        <w:spacing w:after="120"/>
      </w:pPr>
      <w:r>
        <w:rPr>
          <w:b w:val="0"/>
          <w:i w:val="0"/>
          <w:sz w:val="21"/>
        </w:rPr>
        <w:t>본 연구의 수치는 FinFET 구조에서 도출된 것이므로 GAA 소자에 직접 외삽할 수 없다. 다만 다음 세 가지는 소자 구조에 의존하지 않는 방법론 수준의 결과로, 다른 구조에 적용 가능하다.</w:t>
      </w:r>
    </w:p>
    <w:tbl>
      <w:tblPr>
        <w:tblStyle w:val="TableGrid"/>
        <w:tblW w:type="auto" w:w="0"/>
        <w:jc w:val="center"/>
        <w:tblLayout w:type="fixed"/>
        <w:tblLook w:firstColumn="1" w:firstRow="1" w:lastColumn="0" w:lastRow="0" w:noHBand="0" w:noVBand="1" w:val="04A0"/>
      </w:tblPr>
      <w:tblGrid>
        <w:gridCol w:w="450"/>
        <w:gridCol w:w="2160"/>
        <w:gridCol w:w="6390"/>
      </w:tblGrid>
      <w:tr>
        <w:tc>
          <w:tcPr>
            <w:shd w:val="clear" w:color="auto" w:fill="305496"/>
            <w:tcW w:w="450" w:type="dxa"/>
          </w:tcPr>
          <w:p>
            <w:pPr>
              <w:jc w:val="center"/>
            </w:pPr>
            <w:r>
              <w:rPr>
                <w:b/>
                <w:color w:val="FFFFFF"/>
                <w:sz w:val="19"/>
              </w:rPr>
              <w:t>#</w:t>
            </w:r>
          </w:p>
        </w:tc>
        <w:tc>
          <w:tcPr>
            <w:shd w:val="clear" w:color="auto" w:fill="305496"/>
            <w:tcW w:w="2160" w:type="dxa"/>
          </w:tcPr>
          <w:p>
            <w:pPr>
              <w:jc w:val="center"/>
            </w:pPr>
            <w:r>
              <w:rPr>
                <w:b/>
                <w:color w:val="FFFFFF"/>
                <w:sz w:val="19"/>
              </w:rPr>
              <w:t>이전 가능한 결과</w:t>
            </w:r>
          </w:p>
        </w:tc>
        <w:tc>
          <w:tcPr>
            <w:shd w:val="clear" w:color="auto" w:fill="305496"/>
            <w:tcW w:w="6390" w:type="dxa"/>
          </w:tcPr>
          <w:p>
            <w:pPr>
              <w:jc w:val="center"/>
            </w:pPr>
            <w:r>
              <w:rPr>
                <w:b/>
                <w:color w:val="FFFFFF"/>
                <w:sz w:val="19"/>
              </w:rPr>
              <w:t>적용 방식</w:t>
            </w:r>
          </w:p>
        </w:tc>
      </w:tr>
      <w:tr>
        <w:tc>
          <w:tcPr>
            <w:tcW w:w="450" w:type="dxa"/>
          </w:tcPr>
          <w:p>
            <w:r>
              <w:rPr>
                <w:sz w:val="19"/>
              </w:rPr>
              <w:t>1</w:t>
            </w:r>
          </w:p>
        </w:tc>
        <w:tc>
          <w:tcPr>
            <w:tcW w:w="2160" w:type="dxa"/>
          </w:tcPr>
          <w:p>
            <w:pPr>
              <w:jc w:val="center"/>
            </w:pPr>
            <w:r>
              <w:rPr>
                <w:sz w:val="19"/>
              </w:rPr>
              <w:t>STE라는 정규화 지표</w:t>
            </w:r>
          </w:p>
        </w:tc>
        <w:tc>
          <w:tcPr>
            <w:tcW w:w="6390" w:type="dxa"/>
          </w:tcPr>
          <w:p>
            <w:pPr>
              <w:jc w:val="center"/>
            </w:pPr>
            <w:r>
              <w:rPr>
                <w:sz w:val="19"/>
              </w:rPr>
              <w:t>실측 응력을 조성 기반 명목 응력으로 나누어, 재료 변수의 기여(투입량)와 형상 변수의 기여(전달 효율)를 분리한다. 나노시트 구조에서도 Ge 조성과 형상 변수(에피 부피, 내부 스페이서 형상 등)의 역할 분담을 동일한 방식으로 판별할 수 있다</w:t>
            </w:r>
          </w:p>
        </w:tc>
      </w:tr>
      <w:tr>
        <w:tc>
          <w:tcPr>
            <w:shd w:val="clear" w:color="auto" w:fill="F4F6FA"/>
            <w:tcW w:w="450" w:type="dxa"/>
          </w:tcPr>
          <w:p>
            <w:r>
              <w:rPr>
                <w:sz w:val="19"/>
              </w:rPr>
              <w:t>2</w:t>
            </w:r>
          </w:p>
        </w:tc>
        <w:tc>
          <w:tcPr>
            <w:shd w:val="clear" w:color="auto" w:fill="F4F6FA"/>
            <w:tcW w:w="2160" w:type="dxa"/>
          </w:tcPr>
          <w:p>
            <w:pPr>
              <w:jc w:val="center"/>
            </w:pPr>
            <w:r>
              <w:rPr>
                <w:sz w:val="19"/>
              </w:rPr>
              <w:t>성능 지표의 분리 원칙</w:t>
            </w:r>
          </w:p>
        </w:tc>
        <w:tc>
          <w:tcPr>
            <w:shd w:val="clear" w:color="auto" w:fill="F4F6FA"/>
            <w:tcW w:w="6390" w:type="dxa"/>
          </w:tcPr>
          <w:p>
            <w:pPr>
              <w:jc w:val="center"/>
            </w:pPr>
            <w:r>
              <w:rPr>
                <w:sz w:val="19"/>
              </w:rPr>
              <w:t>정전제어·누설·숏채널 효과를 하나의 지표로 뭉쳐 평가하면 원인 규명이 불가능하다. 각각을 SSlin·Ioff·DIBL로 분리하면, 성능 저하가 재료 요인인지 형상 요인인지 공간적으로 구분된다(그림 5)</w:t>
            </w:r>
          </w:p>
        </w:tc>
      </w:tr>
      <w:tr>
        <w:tc>
          <w:tcPr>
            <w:tcW w:w="450" w:type="dxa"/>
          </w:tcPr>
          <w:p>
            <w:r>
              <w:rPr>
                <w:sz w:val="19"/>
              </w:rPr>
              <w:t>3</w:t>
            </w:r>
          </w:p>
        </w:tc>
        <w:tc>
          <w:tcPr>
            <w:tcW w:w="2160" w:type="dxa"/>
          </w:tcPr>
          <w:p>
            <w:pPr>
              <w:jc w:val="center"/>
            </w:pPr>
            <w:r>
              <w:rPr>
                <w:sz w:val="19"/>
              </w:rPr>
              <w:t>포화점 기반 설계창 도출</w:t>
            </w:r>
          </w:p>
        </w:tc>
        <w:tc>
          <w:tcPr>
            <w:tcW w:w="6390" w:type="dxa"/>
          </w:tcPr>
          <w:p>
            <w:pPr>
              <w:jc w:val="center"/>
            </w:pPr>
            <w:r>
              <w:rPr>
                <w:sz w:val="19"/>
              </w:rPr>
              <w:t>단일 지표의 최댓값 대신 "이득이 포화하는 지점"과 "대가가 급증하는 지점"을 각각 특정하고 그 사이를 설계창으로 삼는 방법. 이득과 대가가 서로 다른 지점에서 변곡하는 모든 상충 관계에 적용된다</w:t>
            </w:r>
          </w:p>
        </w:tc>
      </w:tr>
    </w:tbl>
    <w:p/>
    <w:p>
      <w:pPr>
        <w:pStyle w:val="Heading2"/>
        <w:spacing w:before="240" w:after="120"/>
      </w:pPr>
      <w:r>
        <w:rPr>
          <w:color w:val="305496"/>
          <w:sz w:val="26"/>
        </w:rPr>
        <w:t>5.5  실무적 활용</w:t>
      </w:r>
    </w:p>
    <w:p>
      <w:pPr>
        <w:spacing w:after="120"/>
      </w:pPr>
      <w:r>
        <w:rPr>
          <w:b w:val="0"/>
          <w:i w:val="0"/>
          <w:sz w:val="21"/>
        </w:rPr>
        <w:t>공정 개발 관점에서 본 연구의 결과는 다음과 같이 활용될 수 있다. 첫째, 응력 확보와 전달 효율 확보를 서로 다른 공정 변수에 배정할 수 있음을 보였으므로(결론 1·2), 조성 최적화와 형상 최적화를 병렬적으로 진행할 수 있다. 둘째, 리세스 깊이의 실용 상한을 정량적으로 제시했으므로(결론 5), 응력 확보를 목적으로 한 과도한 식각이 정전제어를 희생시키는 설계를 사전에 배제할 수 있다. 셋째, Ge 조성 상향의 대가가 정전제어가 아니라 누설로 국한됨을 보였으므로(결론 4), 고조성 SiGe를 적용할 때의 대응 방향을 접합 프로파일 설계로 한정할 수 있다.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맑은 고딕" w:hAnsi="맑은 고딕"/>
      <w:sz w:val="21"/>
      <w:rFonts w:eastAsia="맑은 고딕" w:ascii="맑은 고딕" w:hAnsi="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b/>
      <w:bCs/>
      <w:color w:val="365F91" w:themeColor="accent1" w:themeShade="BF"/>
      <w:sz w:val="28"/>
      <w:szCs w:val="28"/>
      <w:rFonts w:eastAsia="맑은 고딕" w:ascii="맑은 고딕" w:hAnsi="맑은 고딕"/>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b/>
      <w:bCs/>
      <w:color w:val="4F81BD" w:themeColor="accent1"/>
      <w:sz w:val="26"/>
      <w:szCs w:val="26"/>
      <w:rFonts w:eastAsia="맑은 고딕" w:ascii="맑은 고딕" w:hAnsi="맑은 고딕"/>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b/>
      <w:bCs/>
      <w:color w:val="4F81BD" w:themeColor="accent1"/>
      <w:rFonts w:eastAsia="맑은 고딕" w:ascii="맑은 고딕" w:hAnsi="맑은 고딕"/>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rFonts w:eastAsia="맑은 고딕" w:ascii="맑은 고딕" w:hAnsi="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