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rs-0002-business-model"/>
    <w:p>
      <w:pPr>
        <w:pStyle w:val="Heading1"/>
      </w:pPr>
      <w:r>
        <w:t xml:space="preserve">SRS-0002 Business Model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SRS-0002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document defines the business model of Japan Sourcing Platform (JSP).</w:t>
      </w:r>
    </w:p>
    <w:p>
      <w:pPr>
        <w:pStyle w:val="BodyText"/>
      </w:pPr>
      <w:r>
        <w:t xml:space="preserve">The platform is designed to support B2B sourcing between Japanese suppliers and overseas buyers.</w:t>
      </w:r>
    </w:p>
    <w:p>
      <w:r>
        <w:pict>
          <v:rect style="width:0;height:1.5pt" o:hralign="center" o:hrstd="t" o:hr="t"/>
        </w:pict>
      </w:r>
    </w:p>
    <w:bookmarkEnd w:id="10"/>
    <w:bookmarkStart w:id="11" w:name="business-position"/>
    <w:p>
      <w:pPr>
        <w:pStyle w:val="Heading1"/>
      </w:pPr>
      <w:r>
        <w:t xml:space="preserve">2 Business Position</w:t>
      </w:r>
    </w:p>
    <w:p>
      <w:pPr>
        <w:pStyle w:val="FirstParagraph"/>
      </w:pPr>
      <w:r>
        <w:t xml:space="preserve">JSP is a Japan Product Discovery and Sourcing Platform.</w:t>
      </w:r>
    </w:p>
    <w:p>
      <w:pPr>
        <w:pStyle w:val="BodyText"/>
      </w:pPr>
      <w:r>
        <w:t xml:space="preserve">It is not an online shopping mall.</w:t>
      </w:r>
    </w:p>
    <w:p>
      <w:pPr>
        <w:pStyle w:val="BodyText"/>
      </w:pPr>
      <w:r>
        <w:t xml:space="preserve">Its primary objective is to generate qualified business inquiries and convert them into long-term trading relationships.</w:t>
      </w:r>
    </w:p>
    <w:p>
      <w:r>
        <w:pict>
          <v:rect style="width:0;height:1.5pt" o:hralign="center" o:hrstd="t" o:hr="t"/>
        </w:pict>
      </w:r>
    </w:p>
    <w:bookmarkEnd w:id="11"/>
    <w:bookmarkStart w:id="15" w:name="business-participants"/>
    <w:p>
      <w:pPr>
        <w:pStyle w:val="Heading1"/>
      </w:pPr>
      <w:r>
        <w:t xml:space="preserve">3 Business Participants</w:t>
      </w:r>
    </w:p>
    <w:bookmarkStart w:id="12" w:name="customer"/>
    <w:p>
      <w:pPr>
        <w:pStyle w:val="Heading2"/>
      </w:pPr>
      <w:r>
        <w:t xml:space="preserve">Customer</w:t>
      </w:r>
    </w:p>
    <w:p>
      <w:pPr>
        <w:pStyle w:val="Compact"/>
        <w:numPr>
          <w:ilvl w:val="0"/>
          <w:numId w:val="1001"/>
        </w:numPr>
      </w:pPr>
      <w:r>
        <w:t xml:space="preserve">Overseas importer</w:t>
      </w:r>
    </w:p>
    <w:p>
      <w:pPr>
        <w:pStyle w:val="Compact"/>
        <w:numPr>
          <w:ilvl w:val="0"/>
          <w:numId w:val="1001"/>
        </w:numPr>
      </w:pPr>
      <w:r>
        <w:t xml:space="preserve">Retailer</w:t>
      </w:r>
    </w:p>
    <w:p>
      <w:pPr>
        <w:pStyle w:val="Compact"/>
        <w:numPr>
          <w:ilvl w:val="0"/>
          <w:numId w:val="1001"/>
        </w:numPr>
      </w:pPr>
      <w:r>
        <w:t xml:space="preserve">Wholesaler</w:t>
      </w:r>
    </w:p>
    <w:p>
      <w:pPr>
        <w:pStyle w:val="Compact"/>
        <w:numPr>
          <w:ilvl w:val="0"/>
          <w:numId w:val="1001"/>
        </w:numPr>
      </w:pPr>
      <w:r>
        <w:t xml:space="preserve">E-commerce seller</w:t>
      </w:r>
    </w:p>
    <w:p>
      <w:pPr>
        <w:pStyle w:val="Compact"/>
        <w:numPr>
          <w:ilvl w:val="0"/>
          <w:numId w:val="1001"/>
        </w:numPr>
      </w:pPr>
      <w:r>
        <w:t xml:space="preserve">Trading company</w:t>
      </w:r>
    </w:p>
    <w:bookmarkEnd w:id="12"/>
    <w:bookmarkStart w:id="13" w:name="jsp"/>
    <w:p>
      <w:pPr>
        <w:pStyle w:val="Heading2"/>
      </w:pPr>
      <w:r>
        <w:t xml:space="preserve">JSP</w:t>
      </w:r>
    </w:p>
    <w:p>
      <w:pPr>
        <w:pStyle w:val="Compact"/>
        <w:numPr>
          <w:ilvl w:val="0"/>
          <w:numId w:val="1002"/>
        </w:numPr>
      </w:pPr>
      <w:r>
        <w:t xml:space="preserve">Product discovery</w:t>
      </w:r>
    </w:p>
    <w:p>
      <w:pPr>
        <w:pStyle w:val="Compact"/>
        <w:numPr>
          <w:ilvl w:val="0"/>
          <w:numId w:val="1002"/>
        </w:numPr>
      </w:pPr>
      <w:r>
        <w:t xml:space="preserve">Supplier communication</w:t>
      </w:r>
    </w:p>
    <w:p>
      <w:pPr>
        <w:pStyle w:val="Compact"/>
        <w:numPr>
          <w:ilvl w:val="0"/>
          <w:numId w:val="1002"/>
        </w:numPr>
      </w:pPr>
      <w:r>
        <w:t xml:space="preserve">Quotation</w:t>
      </w:r>
    </w:p>
    <w:p>
      <w:pPr>
        <w:pStyle w:val="Compact"/>
        <w:numPr>
          <w:ilvl w:val="0"/>
          <w:numId w:val="1002"/>
        </w:numPr>
      </w:pPr>
      <w:r>
        <w:t xml:space="preserve">Export support</w:t>
      </w:r>
    </w:p>
    <w:bookmarkEnd w:id="13"/>
    <w:bookmarkStart w:id="14" w:name="supplier"/>
    <w:p>
      <w:pPr>
        <w:pStyle w:val="Heading2"/>
      </w:pPr>
      <w:r>
        <w:t xml:space="preserve">Supplier</w:t>
      </w:r>
    </w:p>
    <w:p>
      <w:pPr>
        <w:pStyle w:val="Compact"/>
        <w:numPr>
          <w:ilvl w:val="0"/>
          <w:numId w:val="1003"/>
        </w:numPr>
      </w:pPr>
      <w:r>
        <w:t xml:space="preserve">Japanese manufacturer</w:t>
      </w:r>
    </w:p>
    <w:p>
      <w:pPr>
        <w:pStyle w:val="Compact"/>
        <w:numPr>
          <w:ilvl w:val="0"/>
          <w:numId w:val="1003"/>
        </w:numPr>
      </w:pPr>
      <w:r>
        <w:t xml:space="preserve">Brand owner</w:t>
      </w:r>
    </w:p>
    <w:p>
      <w:pPr>
        <w:pStyle w:val="Compact"/>
        <w:numPr>
          <w:ilvl w:val="0"/>
          <w:numId w:val="1003"/>
        </w:numPr>
      </w:pPr>
      <w:r>
        <w:t xml:space="preserve">Distributor</w:t>
      </w:r>
    </w:p>
    <w:p>
      <w:pPr>
        <w:pStyle w:val="Compact"/>
        <w:numPr>
          <w:ilvl w:val="0"/>
          <w:numId w:val="1003"/>
        </w:numPr>
      </w:pPr>
      <w:r>
        <w:t xml:space="preserve">Factory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business-model"/>
    <w:p>
      <w:pPr>
        <w:pStyle w:val="Heading1"/>
      </w:pPr>
      <w:r>
        <w:t xml:space="preserve">4 Business Model</w:t>
      </w:r>
    </w:p>
    <w:p>
      <w:pPr>
        <w:pStyle w:val="FirstParagraph"/>
      </w:pP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Discover Products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Download Catalog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Submit 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Quote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Confirm Order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International Shipping</w:t>
      </w:r>
    </w:p>
    <w:p>
      <w:r>
        <w:pict>
          <v:rect style="width:0;height:1.5pt" o:hralign="center" o:hrstd="t" o:hr="t"/>
        </w:pict>
      </w:r>
    </w:p>
    <w:bookmarkEnd w:id="16"/>
    <w:bookmarkStart w:id="17" w:name="revenue-sources"/>
    <w:p>
      <w:pPr>
        <w:pStyle w:val="Heading1"/>
      </w:pPr>
      <w:r>
        <w:t xml:space="preserve">5 Revenue Sources</w:t>
      </w:r>
    </w:p>
    <w:p>
      <w:pPr>
        <w:pStyle w:val="FirstParagraph"/>
      </w:pPr>
      <w:r>
        <w:t xml:space="preserve">Primary Revenue</w:t>
      </w:r>
    </w:p>
    <w:p>
      <w:pPr>
        <w:pStyle w:val="Compact"/>
        <w:numPr>
          <w:ilvl w:val="0"/>
          <w:numId w:val="1004"/>
        </w:numPr>
      </w:pPr>
      <w:r>
        <w:t xml:space="preserve">Product sales margin</w:t>
      </w:r>
    </w:p>
    <w:p>
      <w:pPr>
        <w:pStyle w:val="FirstParagraph"/>
      </w:pPr>
      <w:r>
        <w:t xml:space="preserve">Future Revenue</w:t>
      </w:r>
    </w:p>
    <w:p>
      <w:pPr>
        <w:pStyle w:val="Compact"/>
        <w:numPr>
          <w:ilvl w:val="0"/>
          <w:numId w:val="1005"/>
        </w:numPr>
      </w:pPr>
      <w:r>
        <w:t xml:space="preserve">Exclusive sourcing service</w:t>
      </w:r>
    </w:p>
    <w:p>
      <w:pPr>
        <w:pStyle w:val="Compact"/>
        <w:numPr>
          <w:ilvl w:val="0"/>
          <w:numId w:val="1005"/>
        </w:numPr>
      </w:pPr>
      <w:r>
        <w:t xml:space="preserve">OEM / ODM support</w:t>
      </w:r>
    </w:p>
    <w:p>
      <w:pPr>
        <w:pStyle w:val="Compact"/>
        <w:numPr>
          <w:ilvl w:val="0"/>
          <w:numId w:val="1005"/>
        </w:numPr>
      </w:pPr>
      <w:r>
        <w:t xml:space="preserve">Procurement consulting</w:t>
      </w:r>
    </w:p>
    <w:p>
      <w:pPr>
        <w:pStyle w:val="Compact"/>
        <w:numPr>
          <w:ilvl w:val="0"/>
          <w:numId w:val="1005"/>
        </w:numPr>
      </w:pPr>
      <w:r>
        <w:t xml:space="preserve">VIP sourcing membership</w:t>
      </w:r>
    </w:p>
    <w:p>
      <w:r>
        <w:pict>
          <v:rect style="width:0;height:1.5pt" o:hralign="center" o:hrstd="t" o:hr="t"/>
        </w:pict>
      </w:r>
    </w:p>
    <w:bookmarkEnd w:id="17"/>
    <w:bookmarkStart w:id="18" w:name="competitive-advantages"/>
    <w:p>
      <w:pPr>
        <w:pStyle w:val="Heading1"/>
      </w:pPr>
      <w:r>
        <w:t xml:space="preserve">6 Competitive Advantages</w:t>
      </w:r>
    </w:p>
    <w:p>
      <w:pPr>
        <w:pStyle w:val="Compact"/>
        <w:numPr>
          <w:ilvl w:val="0"/>
          <w:numId w:val="1006"/>
        </w:numPr>
      </w:pPr>
      <w:r>
        <w:t xml:space="preserve">Based in Japan</w:t>
      </w:r>
    </w:p>
    <w:p>
      <w:pPr>
        <w:pStyle w:val="Compact"/>
        <w:numPr>
          <w:ilvl w:val="0"/>
          <w:numId w:val="1006"/>
        </w:numPr>
      </w:pPr>
      <w:r>
        <w:t xml:space="preserve">Long-term supplier network</w:t>
      </w:r>
    </w:p>
    <w:p>
      <w:pPr>
        <w:pStyle w:val="Compact"/>
        <w:numPr>
          <w:ilvl w:val="0"/>
          <w:numId w:val="1006"/>
        </w:numPr>
      </w:pPr>
      <w:r>
        <w:t xml:space="preserve">Exhibition resources</w:t>
      </w:r>
    </w:p>
    <w:p>
      <w:pPr>
        <w:pStyle w:val="Compact"/>
        <w:numPr>
          <w:ilvl w:val="0"/>
          <w:numId w:val="1006"/>
        </w:numPr>
      </w:pPr>
      <w:r>
        <w:t xml:space="preserve">IT-enabled workflow</w:t>
      </w:r>
    </w:p>
    <w:p>
      <w:pPr>
        <w:pStyle w:val="Compact"/>
        <w:numPr>
          <w:ilvl w:val="0"/>
          <w:numId w:val="1006"/>
        </w:numPr>
      </w:pPr>
      <w:r>
        <w:t xml:space="preserve">Inquiry-driven sales process</w:t>
      </w:r>
    </w:p>
    <w:p>
      <w:r>
        <w:pict>
          <v:rect style="width:0;height:1.5pt" o:hralign="center" o:hrstd="t" o:hr="t"/>
        </w:pict>
      </w:r>
    </w:p>
    <w:bookmarkEnd w:id="18"/>
    <w:bookmarkStart w:id="19" w:name="business-principles"/>
    <w:p>
      <w:pPr>
        <w:pStyle w:val="Heading1"/>
      </w:pPr>
      <w:r>
        <w:t xml:space="preserve">7 Business Principles</w:t>
      </w:r>
    </w:p>
    <w:p>
      <w:pPr>
        <w:pStyle w:val="Compact"/>
        <w:numPr>
          <w:ilvl w:val="0"/>
          <w:numId w:val="1007"/>
        </w:numPr>
      </w:pPr>
      <w:r>
        <w:t xml:space="preserve">Trust before transaction</w:t>
      </w:r>
    </w:p>
    <w:p>
      <w:pPr>
        <w:pStyle w:val="Compact"/>
        <w:numPr>
          <w:ilvl w:val="0"/>
          <w:numId w:val="1007"/>
        </w:numPr>
      </w:pPr>
      <w:r>
        <w:t xml:space="preserve">Long-term cooperation</w:t>
      </w:r>
    </w:p>
    <w:p>
      <w:pPr>
        <w:pStyle w:val="Compact"/>
        <w:numPr>
          <w:ilvl w:val="0"/>
          <w:numId w:val="1007"/>
        </w:numPr>
      </w:pPr>
      <w:r>
        <w:t xml:space="preserve">Professional sourcing</w:t>
      </w:r>
    </w:p>
    <w:p>
      <w:pPr>
        <w:pStyle w:val="Compact"/>
        <w:numPr>
          <w:ilvl w:val="0"/>
          <w:numId w:val="1007"/>
        </w:numPr>
      </w:pPr>
      <w:r>
        <w:t xml:space="preserve">Quality over quantity</w:t>
      </w:r>
    </w:p>
    <w:p>
      <w:pPr>
        <w:pStyle w:val="Compact"/>
        <w:numPr>
          <w:ilvl w:val="0"/>
          <w:numId w:val="1007"/>
        </w:numPr>
      </w:pPr>
      <w:r>
        <w:t xml:space="preserve">Customer-oriented service</w:t>
      </w:r>
    </w:p>
    <w:p>
      <w:r>
        <w:pict>
          <v:rect style="width:0;height:1.5pt" o:hralign="center" o:hrstd="t" o:hr="t"/>
        </w:pict>
      </w:r>
    </w:p>
    <w:bookmarkEnd w:id="19"/>
    <w:bookmarkStart w:id="20" w:name="future-expansion"/>
    <w:p>
      <w:pPr>
        <w:pStyle w:val="Heading1"/>
      </w:pPr>
      <w:r>
        <w:t xml:space="preserve">8 Future Expansion</w:t>
      </w:r>
    </w:p>
    <w:p>
      <w:pPr>
        <w:pStyle w:val="Compact"/>
        <w:numPr>
          <w:ilvl w:val="0"/>
          <w:numId w:val="1008"/>
        </w:numPr>
      </w:pPr>
      <w:r>
        <w:t xml:space="preserve">AI-assisted product recommendation</w:t>
      </w:r>
    </w:p>
    <w:p>
      <w:pPr>
        <w:pStyle w:val="Compact"/>
        <w:numPr>
          <w:ilvl w:val="0"/>
          <w:numId w:val="1008"/>
        </w:numPr>
      </w:pPr>
      <w:r>
        <w:t xml:space="preserve">CRM automation</w:t>
      </w:r>
    </w:p>
    <w:p>
      <w:pPr>
        <w:pStyle w:val="Compact"/>
        <w:numPr>
          <w:ilvl w:val="0"/>
          <w:numId w:val="1008"/>
        </w:numPr>
      </w:pPr>
      <w:r>
        <w:t xml:space="preserve">Supplier portal</w:t>
      </w:r>
    </w:p>
    <w:p>
      <w:pPr>
        <w:pStyle w:val="Compact"/>
        <w:numPr>
          <w:ilvl w:val="0"/>
          <w:numId w:val="1008"/>
        </w:numPr>
      </w:pPr>
      <w:r>
        <w:t xml:space="preserve">Multi-language support</w:t>
      </w:r>
    </w:p>
    <w:p>
      <w:pPr>
        <w:pStyle w:val="Compact"/>
        <w:numPr>
          <w:ilvl w:val="0"/>
          <w:numId w:val="1008"/>
        </w:numPr>
      </w:pPr>
      <w:r>
        <w:t xml:space="preserve">Multi-country expansion</w:t>
      </w:r>
    </w:p>
    <w:p>
      <w:r>
        <w:pict>
          <v:rect style="width:0;height:1.5pt" o:hralign="center" o:hrstd="t" o:hr="t"/>
        </w:pict>
      </w:r>
    </w:p>
    <w:bookmarkEnd w:id="20"/>
    <w:bookmarkStart w:id="21" w:name="success-indicators"/>
    <w:p>
      <w:pPr>
        <w:pStyle w:val="Heading1"/>
      </w:pPr>
      <w:r>
        <w:t xml:space="preserve">9 Success Indicators</w:t>
      </w:r>
    </w:p>
    <w:p>
      <w:pPr>
        <w:pStyle w:val="Compact"/>
        <w:numPr>
          <w:ilvl w:val="0"/>
          <w:numId w:val="1009"/>
        </w:numPr>
      </w:pPr>
      <w:r>
        <w:t xml:space="preserve">Number of Leads</w:t>
      </w:r>
    </w:p>
    <w:p>
      <w:pPr>
        <w:pStyle w:val="Compact"/>
        <w:numPr>
          <w:ilvl w:val="0"/>
          <w:numId w:val="1009"/>
        </w:numPr>
      </w:pPr>
      <w:r>
        <w:t xml:space="preserve">Number of Inquiries</w:t>
      </w:r>
    </w:p>
    <w:p>
      <w:pPr>
        <w:pStyle w:val="Compact"/>
        <w:numPr>
          <w:ilvl w:val="0"/>
          <w:numId w:val="1009"/>
        </w:numPr>
      </w:pPr>
      <w:r>
        <w:t xml:space="preserve">Quote Conversion Rate</w:t>
      </w:r>
    </w:p>
    <w:p>
      <w:pPr>
        <w:pStyle w:val="Compact"/>
        <w:numPr>
          <w:ilvl w:val="0"/>
          <w:numId w:val="1009"/>
        </w:numPr>
      </w:pPr>
      <w:r>
        <w:t xml:space="preserve">Customer Retention Rate</w:t>
      </w:r>
    </w:p>
    <w:p>
      <w:pPr>
        <w:pStyle w:val="Compact"/>
        <w:numPr>
          <w:ilvl w:val="0"/>
          <w:numId w:val="1009"/>
        </w:numPr>
      </w:pPr>
      <w:r>
        <w:t xml:space="preserve">Supplier Growth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2026-06-21T12:22:57Z</dcterms:created>
  <dcterms:modified xsi:type="dcterms:W3CDTF">2026-06-21T12:22:57Z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