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-0001-supplier"/>
    <w:p>
      <w:pPr>
        <w:pStyle w:val="Heading1"/>
      </w:pPr>
      <w:r>
        <w:t xml:space="preserve">OBJ-0001 Supplier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OBJ-0001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2026-06-26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Supplier business object of the Japan Sourcing Platform (JSP).</w:t>
      </w:r>
    </w:p>
    <w:p>
      <w:pPr>
        <w:pStyle w:val="BodyText"/>
      </w:pPr>
      <w:r>
        <w:t xml:space="preserve">Supplier is the root business object of the sourcing process and serves as the foundation for Brand, Product, Catalog, and Procurement.</w:t>
      </w:r>
    </w:p>
    <w:p>
      <w:r>
        <w:pict>
          <v:rect style="width:0;height:1.5pt" o:hralign="center" o:hrstd="t" o:hr="t"/>
        </w:pict>
      </w:r>
    </w:p>
    <w:bookmarkEnd w:id="10"/>
    <w:bookmarkStart w:id="11" w:name="business-purpose"/>
    <w:p>
      <w:pPr>
        <w:pStyle w:val="Heading1"/>
      </w:pPr>
      <w:r>
        <w:t xml:space="preserve">2 Business Purpose</w:t>
      </w:r>
    </w:p>
    <w:p>
      <w:pPr>
        <w:pStyle w:val="FirstParagraph"/>
      </w:pPr>
      <w:r>
        <w:t xml:space="preserve">A Supplier represents a Japanese company that provides products or sourcing opportunities.</w:t>
      </w:r>
    </w:p>
    <w:p>
      <w:pPr>
        <w:pStyle w:val="BodyText"/>
      </w:pPr>
      <w:r>
        <w:t xml:space="preserve">The platform manages supplier information throughout the entire cooperation lifecycle, from discovery at exhibitions to long-term partnership.</w:t>
      </w:r>
    </w:p>
    <w:p>
      <w:r>
        <w:pict>
          <v:rect style="width:0;height:1.5pt" o:hralign="center" o:hrstd="t" o:hr="t"/>
        </w:pict>
      </w:r>
    </w:p>
    <w:bookmarkEnd w:id="11"/>
    <w:bookmarkStart w:id="25" w:name="business-rules"/>
    <w:p>
      <w:pPr>
        <w:pStyle w:val="Heading1"/>
      </w:pPr>
      <w:r>
        <w:t xml:space="preserve">3 Business Rules</w:t>
      </w:r>
    </w:p>
    <w:bookmarkStart w:id="12" w:name="supplier-type"/>
    <w:p>
      <w:pPr>
        <w:pStyle w:val="Heading2"/>
      </w:pPr>
      <w:r>
        <w:t xml:space="preserve">3.1 Supplier Type</w:t>
      </w:r>
    </w:p>
    <w:p>
      <w:pPr>
        <w:pStyle w:val="FirstParagraph"/>
      </w:pPr>
      <w:r>
        <w:t xml:space="preserve">A supplier may have multiple business types.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Manufacturer</w:t>
      </w:r>
    </w:p>
    <w:p>
      <w:pPr>
        <w:pStyle w:val="Compact"/>
        <w:numPr>
          <w:ilvl w:val="0"/>
          <w:numId w:val="1001"/>
        </w:numPr>
      </w:pPr>
      <w:r>
        <w:t xml:space="preserve">OEM Factory</w:t>
      </w:r>
    </w:p>
    <w:p>
      <w:pPr>
        <w:pStyle w:val="Compact"/>
        <w:numPr>
          <w:ilvl w:val="0"/>
          <w:numId w:val="1001"/>
        </w:numPr>
      </w:pPr>
      <w:r>
        <w:t xml:space="preserve">ODM Factory</w:t>
      </w:r>
    </w:p>
    <w:p>
      <w:pPr>
        <w:pStyle w:val="Compact"/>
        <w:numPr>
          <w:ilvl w:val="0"/>
          <w:numId w:val="1001"/>
        </w:numPr>
      </w:pPr>
      <w:r>
        <w:t xml:space="preserve">Trading Company</w:t>
      </w:r>
    </w:p>
    <w:p>
      <w:pPr>
        <w:pStyle w:val="Compact"/>
        <w:numPr>
          <w:ilvl w:val="0"/>
          <w:numId w:val="1001"/>
        </w:numPr>
      </w:pPr>
      <w:r>
        <w:t xml:space="preserve">Brand Owner</w:t>
      </w:r>
    </w:p>
    <w:p>
      <w:pPr>
        <w:pStyle w:val="Compact"/>
        <w:numPr>
          <w:ilvl w:val="0"/>
          <w:numId w:val="1001"/>
        </w:numPr>
      </w:pPr>
      <w:r>
        <w:t xml:space="preserve">Wholesaler</w:t>
      </w:r>
    </w:p>
    <w:p>
      <w:r>
        <w:pict>
          <v:rect style="width:0;height:1.5pt" o:hralign="center" o:hrstd="t" o:hr="t"/>
        </w:pict>
      </w:r>
    </w:p>
    <w:bookmarkEnd w:id="12"/>
    <w:bookmarkStart w:id="13" w:name="supplier-status"/>
    <w:p>
      <w:pPr>
        <w:pStyle w:val="Heading2"/>
      </w:pPr>
      <w:r>
        <w:t xml:space="preserve">3.2 Supplier Status</w:t>
      </w:r>
    </w:p>
    <w:p>
      <w:pPr>
        <w:pStyle w:val="FirstParagraph"/>
      </w:pPr>
      <w:r>
        <w:t xml:space="preserve">Supplier lifecycle:</w:t>
      </w:r>
    </w:p>
    <w:p>
      <w:pPr>
        <w:pStyle w:val="BodyText"/>
      </w:pPr>
      <w:r>
        <w:t xml:space="preserve">Prospect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Supplier history shall be retained.</w:t>
      </w:r>
    </w:p>
    <w:p>
      <w:pPr>
        <w:pStyle w:val="BodyText"/>
      </w:pPr>
      <w:r>
        <w:t xml:space="preserve">Records are never physically deleted.</w:t>
      </w:r>
    </w:p>
    <w:p>
      <w:r>
        <w:pict>
          <v:rect style="width:0;height:1.5pt" o:hralign="center" o:hrstd="t" o:hr="t"/>
        </w:pict>
      </w:r>
    </w:p>
    <w:bookmarkEnd w:id="13"/>
    <w:bookmarkStart w:id="14" w:name="supplier-identifier"/>
    <w:p>
      <w:pPr>
        <w:pStyle w:val="Heading2"/>
      </w:pPr>
      <w:r>
        <w:t xml:space="preserve">3.3 Supplier Identifier</w:t>
      </w:r>
    </w:p>
    <w:p>
      <w:pPr>
        <w:pStyle w:val="FirstParagraph"/>
      </w:pPr>
      <w:r>
        <w:t xml:space="preserve">Supplier ID is automatically generated.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SUP-000001</w:t>
      </w:r>
    </w:p>
    <w:p>
      <w:r>
        <w:pict>
          <v:rect style="width:0;height:1.5pt" o:hralign="center" o:hrstd="t" o:hr="t"/>
        </w:pict>
      </w:r>
    </w:p>
    <w:bookmarkEnd w:id="14"/>
    <w:bookmarkStart w:id="15" w:name="contacts"/>
    <w:p>
      <w:pPr>
        <w:pStyle w:val="Heading2"/>
      </w:pPr>
      <w:r>
        <w:t xml:space="preserve">3.4 Contacts</w:t>
      </w:r>
    </w:p>
    <w:p>
      <w:pPr>
        <w:pStyle w:val="FirstParagraph"/>
      </w:pPr>
      <w:r>
        <w:t xml:space="preserve">A supplier may have multiple contacts.</w:t>
      </w:r>
    </w:p>
    <w:p>
      <w:pPr>
        <w:pStyle w:val="BodyText"/>
      </w:pPr>
      <w:r>
        <w:t xml:space="preserve">One contact shall be designated as the Primary Contact.</w:t>
      </w:r>
    </w:p>
    <w:p>
      <w:pPr>
        <w:pStyle w:val="BodyText"/>
      </w:pPr>
      <w:r>
        <w:t xml:space="preserve">Historical contacts shall be retained.</w:t>
      </w:r>
    </w:p>
    <w:p>
      <w:r>
        <w:pict>
          <v:rect style="width:0;height:1.5pt" o:hralign="center" o:hrstd="t" o:hr="t"/>
        </w:pict>
      </w:r>
    </w:p>
    <w:bookmarkEnd w:id="15"/>
    <w:bookmarkStart w:id="16" w:name="brands"/>
    <w:p>
      <w:pPr>
        <w:pStyle w:val="Heading2"/>
      </w:pPr>
      <w:r>
        <w:t xml:space="preserve">3.5 Brands</w:t>
      </w:r>
    </w:p>
    <w:p>
      <w:pPr>
        <w:pStyle w:val="FirstParagraph"/>
      </w:pPr>
      <w:r>
        <w:t xml:space="preserve">One supplier may own multiple brands.</w:t>
      </w:r>
    </w:p>
    <w:p>
      <w:pPr>
        <w:pStyle w:val="BodyText"/>
      </w:pPr>
      <w:r>
        <w:t xml:space="preserve">Each brand belongs to one supplier.</w:t>
      </w:r>
    </w:p>
    <w:p>
      <w:r>
        <w:pict>
          <v:rect style="width:0;height:1.5pt" o:hralign="center" o:hrstd="t" o:hr="t"/>
        </w:pict>
      </w:r>
    </w:p>
    <w:bookmarkEnd w:id="16"/>
    <w:bookmarkStart w:id="17" w:name="products"/>
    <w:p>
      <w:pPr>
        <w:pStyle w:val="Heading2"/>
      </w:pPr>
      <w:r>
        <w:t xml:space="preserve">3.6 Products</w:t>
      </w:r>
    </w:p>
    <w:p>
      <w:pPr>
        <w:pStyle w:val="FirstParagraph"/>
      </w:pPr>
      <w:r>
        <w:t xml:space="preserve">A supplier may exist without any products.</w:t>
      </w:r>
    </w:p>
    <w:p>
      <w:pPr>
        <w:pStyle w:val="BodyText"/>
      </w:pPr>
      <w:r>
        <w:t xml:space="preserve">Products can be added later.</w:t>
      </w:r>
    </w:p>
    <w:p>
      <w:r>
        <w:pict>
          <v:rect style="width:0;height:1.5pt" o:hralign="center" o:hrstd="t" o:hr="t"/>
        </w:pict>
      </w:r>
    </w:p>
    <w:bookmarkEnd w:id="17"/>
    <w:bookmarkStart w:id="18" w:name="attachments"/>
    <w:p>
      <w:pPr>
        <w:pStyle w:val="Heading2"/>
      </w:pPr>
      <w:r>
        <w:t xml:space="preserve">3.7 Attachments</w:t>
      </w:r>
    </w:p>
    <w:p>
      <w:pPr>
        <w:pStyle w:val="FirstParagraph"/>
      </w:pPr>
      <w:r>
        <w:t xml:space="preserve">Attachments are supported but optional.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Company Profile</w:t>
      </w:r>
    </w:p>
    <w:p>
      <w:pPr>
        <w:pStyle w:val="Compact"/>
        <w:numPr>
          <w:ilvl w:val="0"/>
          <w:numId w:val="1002"/>
        </w:numPr>
      </w:pPr>
      <w:r>
        <w:t xml:space="preserve">Product Catalog</w:t>
      </w:r>
    </w:p>
    <w:p>
      <w:pPr>
        <w:pStyle w:val="Compact"/>
        <w:numPr>
          <w:ilvl w:val="0"/>
          <w:numId w:val="1002"/>
        </w:numPr>
      </w:pPr>
      <w:r>
        <w:t xml:space="preserve">Business Card</w:t>
      </w:r>
    </w:p>
    <w:p>
      <w:pPr>
        <w:pStyle w:val="Compact"/>
        <w:numPr>
          <w:ilvl w:val="0"/>
          <w:numId w:val="1002"/>
        </w:numPr>
      </w:pPr>
      <w:r>
        <w:t xml:space="preserve">Certificates</w:t>
      </w:r>
    </w:p>
    <w:p>
      <w:pPr>
        <w:pStyle w:val="Compact"/>
        <w:numPr>
          <w:ilvl w:val="0"/>
          <w:numId w:val="1002"/>
        </w:numPr>
      </w:pPr>
      <w:r>
        <w:t xml:space="preserve">Price List</w:t>
      </w:r>
    </w:p>
    <w:p>
      <w:pPr>
        <w:pStyle w:val="Compact"/>
        <w:numPr>
          <w:ilvl w:val="0"/>
          <w:numId w:val="1002"/>
        </w:numPr>
      </w:pPr>
      <w:r>
        <w:t xml:space="preserve">Exhibition Photos</w:t>
      </w:r>
    </w:p>
    <w:p>
      <w:r>
        <w:pict>
          <v:rect style="width:0;height:1.5pt" o:hralign="center" o:hrstd="t" o:hr="t"/>
        </w:pict>
      </w:r>
    </w:p>
    <w:bookmarkEnd w:id="18"/>
    <w:bookmarkStart w:id="19" w:name="tags"/>
    <w:p>
      <w:pPr>
        <w:pStyle w:val="Heading2"/>
      </w:pPr>
      <w:r>
        <w:t xml:space="preserve">3.8 Tags</w:t>
      </w:r>
    </w:p>
    <w:p>
      <w:pPr>
        <w:pStyle w:val="FirstParagraph"/>
      </w:pPr>
      <w:r>
        <w:t xml:space="preserve">A supplier may have multiple tags.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OEM</w:t>
      </w:r>
    </w:p>
    <w:p>
      <w:pPr>
        <w:pStyle w:val="Compact"/>
        <w:numPr>
          <w:ilvl w:val="0"/>
          <w:numId w:val="1003"/>
        </w:numPr>
      </w:pPr>
      <w:r>
        <w:t xml:space="preserve">ODM</w:t>
      </w:r>
    </w:p>
    <w:p>
      <w:pPr>
        <w:pStyle w:val="Compact"/>
        <w:numPr>
          <w:ilvl w:val="0"/>
          <w:numId w:val="1003"/>
        </w:numPr>
      </w:pPr>
      <w:r>
        <w:t xml:space="preserve">Small MOQ</w:t>
      </w:r>
    </w:p>
    <w:p>
      <w:pPr>
        <w:pStyle w:val="Compact"/>
        <w:numPr>
          <w:ilvl w:val="0"/>
          <w:numId w:val="1003"/>
        </w:numPr>
      </w:pPr>
      <w:r>
        <w:t xml:space="preserve">Eco</w:t>
      </w:r>
    </w:p>
    <w:p>
      <w:pPr>
        <w:pStyle w:val="Compact"/>
        <w:numPr>
          <w:ilvl w:val="0"/>
          <w:numId w:val="1003"/>
        </w:numPr>
      </w:pPr>
      <w:r>
        <w:t xml:space="preserve">Luxury</w:t>
      </w:r>
    </w:p>
    <w:p>
      <w:pPr>
        <w:pStyle w:val="Compact"/>
        <w:numPr>
          <w:ilvl w:val="0"/>
          <w:numId w:val="1003"/>
        </w:numPr>
      </w:pPr>
      <w:r>
        <w:t xml:space="preserve">Fast Delivery</w:t>
      </w:r>
    </w:p>
    <w:p>
      <w:pPr>
        <w:pStyle w:val="Compact"/>
        <w:numPr>
          <w:ilvl w:val="0"/>
          <w:numId w:val="1003"/>
        </w:numPr>
      </w:pPr>
      <w:r>
        <w:t xml:space="preserve">Export Support</w:t>
      </w:r>
    </w:p>
    <w:p>
      <w:r>
        <w:pict>
          <v:rect style="width:0;height:1.5pt" o:hralign="center" o:hrstd="t" o:hr="t"/>
        </w:pict>
      </w:r>
    </w:p>
    <w:bookmarkEnd w:id="19"/>
    <w:bookmarkStart w:id="20" w:name="oem-odm-capability"/>
    <w:p>
      <w:pPr>
        <w:pStyle w:val="Heading2"/>
      </w:pPr>
      <w:r>
        <w:t xml:space="preserve">3.9 OEM / ODM Capability</w:t>
      </w:r>
    </w:p>
    <w:p>
      <w:pPr>
        <w:pStyle w:val="FirstParagraph"/>
      </w:pPr>
      <w:r>
        <w:t xml:space="preserve">Supplier records support:</w:t>
      </w:r>
    </w:p>
    <w:p>
      <w:pPr>
        <w:pStyle w:val="Compact"/>
        <w:numPr>
          <w:ilvl w:val="0"/>
          <w:numId w:val="1004"/>
        </w:numPr>
      </w:pPr>
      <w:r>
        <w:t xml:space="preserve">OEM</w:t>
      </w:r>
    </w:p>
    <w:p>
      <w:pPr>
        <w:pStyle w:val="Compact"/>
        <w:numPr>
          <w:ilvl w:val="0"/>
          <w:numId w:val="1004"/>
        </w:numPr>
      </w:pPr>
      <w:r>
        <w:t xml:space="preserve">ODM</w:t>
      </w:r>
    </w:p>
    <w:p>
      <w:pPr>
        <w:pStyle w:val="Compact"/>
        <w:numPr>
          <w:ilvl w:val="0"/>
          <w:numId w:val="1004"/>
        </w:numPr>
      </w:pPr>
      <w:r>
        <w:t xml:space="preserve">Private Label</w:t>
      </w:r>
    </w:p>
    <w:p>
      <w:r>
        <w:pict>
          <v:rect style="width:0;height:1.5pt" o:hralign="center" o:hrstd="t" o:hr="t"/>
        </w:pict>
      </w:r>
    </w:p>
    <w:bookmarkEnd w:id="20"/>
    <w:bookmarkStart w:id="21" w:name="sample-support"/>
    <w:p>
      <w:pPr>
        <w:pStyle w:val="Heading2"/>
      </w:pPr>
      <w:r>
        <w:t xml:space="preserve">3.10 Sample Support</w:t>
      </w:r>
    </w:p>
    <w:p>
      <w:pPr>
        <w:pStyle w:val="FirstParagraph"/>
      </w:pPr>
      <w:r>
        <w:t xml:space="preserve">Optional information includes:</w:t>
      </w:r>
    </w:p>
    <w:p>
      <w:pPr>
        <w:pStyle w:val="Compact"/>
        <w:numPr>
          <w:ilvl w:val="0"/>
          <w:numId w:val="1005"/>
        </w:numPr>
      </w:pPr>
      <w:r>
        <w:t xml:space="preserve">Sample Available</w:t>
      </w:r>
    </w:p>
    <w:p>
      <w:pPr>
        <w:pStyle w:val="Compact"/>
        <w:numPr>
          <w:ilvl w:val="0"/>
          <w:numId w:val="1005"/>
        </w:numPr>
      </w:pPr>
      <w:r>
        <w:t xml:space="preserve">Sample Cost</w:t>
      </w:r>
    </w:p>
    <w:p>
      <w:pPr>
        <w:pStyle w:val="Compact"/>
        <w:numPr>
          <w:ilvl w:val="0"/>
          <w:numId w:val="1005"/>
        </w:numPr>
      </w:pPr>
      <w:r>
        <w:t xml:space="preserve">Sample Lead Time</w:t>
      </w:r>
    </w:p>
    <w:p>
      <w:r>
        <w:pict>
          <v:rect style="width:0;height:1.5pt" o:hralign="center" o:hrstd="t" o:hr="t"/>
        </w:pict>
      </w:r>
    </w:p>
    <w:bookmarkEnd w:id="21"/>
    <w:bookmarkStart w:id="22" w:name="moq"/>
    <w:p>
      <w:pPr>
        <w:pStyle w:val="Heading2"/>
      </w:pPr>
      <w:r>
        <w:t xml:space="preserve">3.11 MOQ</w:t>
      </w:r>
    </w:p>
    <w:p>
      <w:pPr>
        <w:pStyle w:val="FirstParagraph"/>
      </w:pPr>
      <w:r>
        <w:t xml:space="preserve">Supplier cooperation characteristics may include:</w:t>
      </w:r>
    </w:p>
    <w:p>
      <w:pPr>
        <w:pStyle w:val="Compact"/>
        <w:numPr>
          <w:ilvl w:val="0"/>
          <w:numId w:val="1006"/>
        </w:numPr>
      </w:pPr>
      <w:r>
        <w:t xml:space="preserve">Preferred MOQ</w:t>
      </w:r>
    </w:p>
    <w:p>
      <w:pPr>
        <w:pStyle w:val="Compact"/>
        <w:numPr>
          <w:ilvl w:val="0"/>
          <w:numId w:val="1006"/>
        </w:numPr>
      </w:pPr>
      <w:r>
        <w:t xml:space="preserve">Negotiable</w:t>
      </w:r>
    </w:p>
    <w:p>
      <w:pPr>
        <w:pStyle w:val="Compact"/>
        <w:numPr>
          <w:ilvl w:val="0"/>
          <w:numId w:val="1006"/>
        </w:numPr>
      </w:pPr>
      <w:r>
        <w:t xml:space="preserve">Small Quantity Accepted</w:t>
      </w:r>
    </w:p>
    <w:p>
      <w:r>
        <w:pict>
          <v:rect style="width:0;height:1.5pt" o:hralign="center" o:hrstd="t" o:hr="t"/>
        </w:pict>
      </w:r>
    </w:p>
    <w:bookmarkEnd w:id="22"/>
    <w:bookmarkStart w:id="23" w:name="export-experience"/>
    <w:p>
      <w:pPr>
        <w:pStyle w:val="Heading2"/>
      </w:pPr>
      <w:r>
        <w:t xml:space="preserve">3.12 Export Experience</w:t>
      </w:r>
    </w:p>
    <w:p>
      <w:pPr>
        <w:pStyle w:val="FirstParagraph"/>
      </w:pPr>
      <w:r>
        <w:t xml:space="preserve">Export experience is optional reference information.</w:t>
      </w:r>
    </w:p>
    <w:p>
      <w:pPr>
        <w:pStyle w:val="BodyText"/>
      </w:pPr>
      <w:r>
        <w:t xml:space="preserve">It shall not be used as a supplier evaluation criterion.</w:t>
      </w:r>
    </w:p>
    <w:p>
      <w:r>
        <w:pict>
          <v:rect style="width:0;height:1.5pt" o:hralign="center" o:hrstd="t" o:hr="t"/>
        </w:pict>
      </w:r>
    </w:p>
    <w:bookmarkEnd w:id="23"/>
    <w:bookmarkStart w:id="24" w:name="factory-visit"/>
    <w:p>
      <w:pPr>
        <w:pStyle w:val="Heading2"/>
      </w:pPr>
      <w:r>
        <w:t xml:space="preserve">3.13 Factory Visit</w:t>
      </w:r>
    </w:p>
    <w:p>
      <w:pPr>
        <w:pStyle w:val="FirstParagraph"/>
      </w:pPr>
      <w:r>
        <w:t xml:space="preserve">Factory visit history shall be maintained.</w:t>
      </w:r>
    </w:p>
    <w:p>
      <w:pPr>
        <w:pStyle w:val="BodyText"/>
      </w:pPr>
      <w:r>
        <w:t xml:space="preserve">Each visit may contain:</w:t>
      </w:r>
    </w:p>
    <w:p>
      <w:pPr>
        <w:pStyle w:val="Compact"/>
        <w:numPr>
          <w:ilvl w:val="0"/>
          <w:numId w:val="1007"/>
        </w:numPr>
      </w:pPr>
      <w:r>
        <w:t xml:space="preserve">Visit Date</w:t>
      </w:r>
    </w:p>
    <w:p>
      <w:pPr>
        <w:pStyle w:val="Compact"/>
        <w:numPr>
          <w:ilvl w:val="0"/>
          <w:numId w:val="1007"/>
        </w:numPr>
      </w:pPr>
      <w:r>
        <w:t xml:space="preserve">Visitor</w:t>
      </w:r>
    </w:p>
    <w:p>
      <w:pPr>
        <w:pStyle w:val="Compact"/>
        <w:numPr>
          <w:ilvl w:val="0"/>
          <w:numId w:val="1007"/>
        </w:numPr>
      </w:pPr>
      <w:r>
        <w:t xml:space="preserve">Meeting Summary</w:t>
      </w:r>
    </w:p>
    <w:p>
      <w:pPr>
        <w:pStyle w:val="Compact"/>
        <w:numPr>
          <w:ilvl w:val="0"/>
          <w:numId w:val="1007"/>
        </w:numPr>
      </w:pPr>
      <w:r>
        <w:t xml:space="preserve">Follow-up Actions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lationships"/>
    <w:p>
      <w:pPr>
        <w:pStyle w:val="Heading1"/>
      </w:pPr>
      <w:r>
        <w:t xml:space="preserve">4 Relationships</w:t>
      </w:r>
    </w:p>
    <w:p>
      <w:pPr>
        <w:pStyle w:val="FirstParagraph"/>
      </w:pPr>
      <w:r>
        <w:t xml:space="preserve">Supplier</w:t>
      </w:r>
    </w:p>
    <w:p>
      <w:pPr>
        <w:pStyle w:val="BodyText"/>
      </w:pPr>
      <w:r>
        <w:t xml:space="preserve">├── Contact (1:N)</w:t>
      </w:r>
    </w:p>
    <w:p>
      <w:pPr>
        <w:pStyle w:val="BodyText"/>
      </w:pPr>
      <w:r>
        <w:t xml:space="preserve">├── Brand (1:N)</w:t>
      </w:r>
    </w:p>
    <w:p>
      <w:pPr>
        <w:pStyle w:val="BodyText"/>
      </w:pPr>
      <w:r>
        <w:t xml:space="preserve">├── Product (1:N)</w:t>
      </w:r>
    </w:p>
    <w:p>
      <w:pPr>
        <w:pStyle w:val="BodyText"/>
      </w:pPr>
      <w:r>
        <w:t xml:space="preserve">├── Attachment (1:N)</w:t>
      </w:r>
    </w:p>
    <w:p>
      <w:pPr>
        <w:pStyle w:val="BodyText"/>
      </w:pPr>
      <w:r>
        <w:t xml:space="preserve">├── Memo (1:N)</w:t>
      </w:r>
    </w:p>
    <w:p>
      <w:pPr>
        <w:pStyle w:val="BodyText"/>
      </w:pPr>
      <w:r>
        <w:t xml:space="preserve">└── Visit History (1:N)</w:t>
      </w:r>
    </w:p>
    <w:p>
      <w:r>
        <w:pict>
          <v:rect style="width:0;height:1.5pt" o:hralign="center" o:hrstd="t" o:hr="t"/>
        </w:pict>
      </w:r>
    </w:p>
    <w:bookmarkEnd w:id="26"/>
    <w:bookmarkStart w:id="27" w:name="core-attributes"/>
    <w:p>
      <w:pPr>
        <w:pStyle w:val="Heading1"/>
      </w:pPr>
      <w:r>
        <w:t xml:space="preserve">5 Core Attributes</w:t>
      </w:r>
    </w:p>
    <w:p>
      <w:pPr>
        <w:pStyle w:val="FirstParagraph"/>
      </w:pPr>
      <w:r>
        <w:t xml:space="preserve">Supplier ID</w:t>
      </w:r>
    </w:p>
    <w:p>
      <w:pPr>
        <w:pStyle w:val="BodyText"/>
      </w:pPr>
      <w:r>
        <w:t xml:space="preserve">Company Name</w:t>
      </w:r>
    </w:p>
    <w:p>
      <w:pPr>
        <w:pStyle w:val="BodyText"/>
      </w:pPr>
      <w:r>
        <w:t xml:space="preserve">Company Name (English)</w:t>
      </w:r>
    </w:p>
    <w:p>
      <w:pPr>
        <w:pStyle w:val="BodyText"/>
      </w:pPr>
      <w:r>
        <w:t xml:space="preserve">Supplier 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Region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Fax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Primary Contact</w:t>
      </w:r>
    </w:p>
    <w:p>
      <w:pPr>
        <w:pStyle w:val="BodyText"/>
      </w:pPr>
      <w:r>
        <w:t xml:space="preserve">OEM Support</w:t>
      </w:r>
    </w:p>
    <w:p>
      <w:pPr>
        <w:pStyle w:val="BodyText"/>
      </w:pPr>
      <w:r>
        <w:t xml:space="preserve">ODM Support</w:t>
      </w:r>
    </w:p>
    <w:p>
      <w:pPr>
        <w:pStyle w:val="BodyText"/>
      </w:pPr>
      <w:r>
        <w:t xml:space="preserve">Private Label Support</w:t>
      </w:r>
    </w:p>
    <w:p>
      <w:pPr>
        <w:pStyle w:val="BodyText"/>
      </w:pPr>
      <w:r>
        <w:t xml:space="preserve">Sample Available</w:t>
      </w:r>
    </w:p>
    <w:p>
      <w:pPr>
        <w:pStyle w:val="BodyText"/>
      </w:pPr>
      <w:r>
        <w:t xml:space="preserve">MOQ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Remark</w:t>
      </w:r>
    </w:p>
    <w:p>
      <w:pPr>
        <w:pStyle w:val="BodyText"/>
      </w:pPr>
      <w:r>
        <w:t xml:space="preserve">Created Time</w:t>
      </w:r>
    </w:p>
    <w:p>
      <w:pPr>
        <w:pStyle w:val="BodyText"/>
      </w:pPr>
      <w:r>
        <w:t xml:space="preserve">Updated Time</w:t>
      </w:r>
    </w:p>
    <w:p>
      <w:r>
        <w:pict>
          <v:rect style="width:0;height:1.5pt" o:hralign="center" o:hrstd="t" o:hr="t"/>
        </w:pict>
      </w:r>
    </w:p>
    <w:bookmarkEnd w:id="27"/>
    <w:bookmarkStart w:id="28" w:name="geographic-rule"/>
    <w:p>
      <w:pPr>
        <w:pStyle w:val="Heading1"/>
      </w:pPr>
      <w:r>
        <w:t xml:space="preserve">6 Geographic Rule</w:t>
      </w:r>
    </w:p>
    <w:p>
      <w:pPr>
        <w:pStyle w:val="FirstParagraph"/>
      </w:pPr>
      <w:r>
        <w:t xml:space="preserve">Country is managed independently.</w:t>
      </w:r>
    </w:p>
    <w:p>
      <w:pPr>
        <w:pStyle w:val="BodyText"/>
      </w:pPr>
      <w:r>
        <w:t xml:space="preserve">For China, Region supports:</w:t>
      </w:r>
    </w:p>
    <w:p>
      <w:pPr>
        <w:pStyle w:val="Compact"/>
        <w:numPr>
          <w:ilvl w:val="0"/>
          <w:numId w:val="1008"/>
        </w:numPr>
      </w:pPr>
      <w:r>
        <w:t xml:space="preserve">China Taiwan</w:t>
      </w:r>
    </w:p>
    <w:p>
      <w:pPr>
        <w:pStyle w:val="Compact"/>
        <w:numPr>
          <w:ilvl w:val="0"/>
          <w:numId w:val="1008"/>
        </w:numPr>
      </w:pPr>
      <w:r>
        <w:t xml:space="preserve">China Hong Kong</w:t>
      </w:r>
    </w:p>
    <w:p>
      <w:pPr>
        <w:pStyle w:val="Compact"/>
        <w:numPr>
          <w:ilvl w:val="0"/>
          <w:numId w:val="1008"/>
        </w:numPr>
      </w:pPr>
      <w:r>
        <w:t xml:space="preserve">China Macau</w:t>
      </w:r>
    </w:p>
    <w:p>
      <w:pPr>
        <w:pStyle w:val="Compact"/>
        <w:numPr>
          <w:ilvl w:val="0"/>
          <w:numId w:val="1008"/>
        </w:numPr>
      </w:pPr>
      <w:r>
        <w:t xml:space="preserve">China Other</w:t>
      </w:r>
    </w:p>
    <w:p>
      <w:r>
        <w:pict>
          <v:rect style="width:0;height:1.5pt" o:hralign="center" o:hrstd="t" o:hr="t"/>
        </w:pict>
      </w:r>
    </w:p>
    <w:bookmarkEnd w:id="28"/>
    <w:bookmarkStart w:id="29" w:name="design-principles"/>
    <w:p>
      <w:pPr>
        <w:pStyle w:val="Heading1"/>
      </w:pPr>
      <w:r>
        <w:t xml:space="preserve">7 Design Principles</w:t>
      </w:r>
    </w:p>
    <w:p>
      <w:pPr>
        <w:pStyle w:val="Compact"/>
        <w:numPr>
          <w:ilvl w:val="0"/>
          <w:numId w:val="1009"/>
        </w:numPr>
      </w:pPr>
      <w:r>
        <w:t xml:space="preserve">Business First</w:t>
      </w:r>
    </w:p>
    <w:p>
      <w:pPr>
        <w:pStyle w:val="Compact"/>
        <w:numPr>
          <w:ilvl w:val="0"/>
          <w:numId w:val="1009"/>
        </w:numPr>
      </w:pPr>
      <w:r>
        <w:t xml:space="preserve">History Retained</w:t>
      </w:r>
    </w:p>
    <w:p>
      <w:pPr>
        <w:pStyle w:val="Compact"/>
        <w:numPr>
          <w:ilvl w:val="0"/>
          <w:numId w:val="1009"/>
        </w:numPr>
      </w:pPr>
      <w:r>
        <w:t xml:space="preserve">Optional Before Mandatory</w:t>
      </w:r>
    </w:p>
    <w:p>
      <w:pPr>
        <w:pStyle w:val="Compact"/>
        <w:numPr>
          <w:ilvl w:val="0"/>
          <w:numId w:val="1009"/>
        </w:numPr>
      </w:pPr>
      <w:r>
        <w:t xml:space="preserve">No Physical Delete</w:t>
      </w:r>
    </w:p>
    <w:p>
      <w:pPr>
        <w:pStyle w:val="Compact"/>
        <w:numPr>
          <w:ilvl w:val="0"/>
          <w:numId w:val="1009"/>
        </w:numPr>
      </w:pPr>
      <w:r>
        <w:t xml:space="preserve">Multiple Contacts Supported</w:t>
      </w:r>
    </w:p>
    <w:p>
      <w:pPr>
        <w:pStyle w:val="Compact"/>
        <w:numPr>
          <w:ilvl w:val="0"/>
          <w:numId w:val="1009"/>
        </w:numPr>
      </w:pPr>
      <w:r>
        <w:t xml:space="preserve">Multiple Brands Supported</w:t>
      </w:r>
    </w:p>
    <w:p>
      <w:r>
        <w:pict>
          <v:rect style="width:0;height:1.5pt" o:hralign="center" o:hrstd="t" o:hr="t"/>
        </w:pict>
      </w:r>
    </w:p>
    <w:bookmarkEnd w:id="29"/>
    <w:bookmarkStart w:id="30" w:name="future-extension"/>
    <w:p>
      <w:pPr>
        <w:pStyle w:val="Heading1"/>
      </w:pPr>
      <w:r>
        <w:t xml:space="preserve">8 Future Extension</w:t>
      </w:r>
    </w:p>
    <w:p>
      <w:pPr>
        <w:pStyle w:val="FirstParagraph"/>
      </w:pPr>
      <w:r>
        <w:t xml:space="preserve">Supplier Portal</w:t>
      </w:r>
    </w:p>
    <w:p>
      <w:pPr>
        <w:pStyle w:val="BodyText"/>
      </w:pPr>
      <w:r>
        <w:t xml:space="preserve">Supplier Evaluation</w:t>
      </w:r>
    </w:p>
    <w:p>
      <w:pPr>
        <w:pStyle w:val="BodyText"/>
      </w:pPr>
      <w:r>
        <w:t xml:space="preserve">Supplier KPI</w:t>
      </w:r>
    </w:p>
    <w:p>
      <w:pPr>
        <w:pStyle w:val="BodyText"/>
      </w:pPr>
      <w:r>
        <w:t xml:space="preserve">Supplier Audit</w:t>
      </w:r>
    </w:p>
    <w:p>
      <w:pPr>
        <w:pStyle w:val="BodyText"/>
      </w:pPr>
      <w:r>
        <w:t xml:space="preserve">AI Supplier Recommendation</w:t>
      </w:r>
    </w:p>
    <w:p>
      <w:r>
        <w:pict>
          <v:rect style="width:0;height:1.5pt" o:hralign="center" o:hrstd="t" o:hr="t"/>
        </w:pict>
      </w:r>
    </w:p>
    <w:bookmarkEnd w:id="30"/>
    <w:bookmarkStart w:id="31" w:name="revision-history"/>
    <w:p>
      <w:pPr>
        <w:pStyle w:val="Heading1"/>
      </w:pPr>
      <w:r>
        <w:t xml:space="preserve">9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baseline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