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rPr>
          <w:rFonts w:ascii="游ゴシック" w:cs="游ゴシック" w:eastAsia="游ゴシック" w:hAnsi="游ゴシック"/>
          <w:sz w:val="20"/>
          <w:szCs w:val="20"/>
        </w:rPr>
        <w:t xml:space="preserve">令和8年　　月　　日</w:t>
      </w:r>
    </w:p>
    <w:p>
      <w:pPr>
        <w:spacing w:after="60"/>
        <w:jc w:val="center"/>
      </w:pPr>
      <w:r>
        <w:rPr>
          <w:rFonts w:ascii="游ゴシック" w:cs="游ゴシック" w:eastAsia="游ゴシック" w:hAnsi="游ゴシック"/>
          <w:color w:val="666666"/>
          <w:sz w:val="18"/>
          <w:szCs w:val="18"/>
        </w:rPr>
        <w:t xml:space="preserve">起案文書（豊田市役所　地域活躍部 防災対策課）</w:t>
      </w:r>
    </w:p>
    <w:p>
      <w:pPr>
        <w:spacing w:after="300"/>
        <w:jc w:val="center"/>
      </w:pPr>
      <w:r>
        <w:rPr>
          <w:rFonts w:ascii="游ゴシック" w:cs="游ゴシック" w:eastAsia="游ゴシック" w:hAnsi="游ゴシック"/>
          <w:b/>
          <w:bCs/>
          <w:sz w:val="30"/>
          <w:szCs w:val="30"/>
        </w:rPr>
        <w:t xml:space="preserve">近年の局地的短時間強雨・記録的短時間大雨に対応した
内水氾濫リスク把握・対応マニュアル整備事業について（案）</w:t>
      </w:r>
    </w:p>
    <w:p>
      <w:pPr>
        <w:pStyle w:val="Heading1"/>
        <w:spacing w:after="160" w:before="320"/>
      </w:pPr>
      <w:r>
        <w:rPr>
          <w:rFonts w:ascii="游ゴシック" w:cs="游ゴシック" w:eastAsia="游ゴシック" w:hAnsi="游ゴシック"/>
          <w:b/>
          <w:bCs/>
          <w:color w:val="1F4E5F"/>
          <w:sz w:val="28"/>
          <w:szCs w:val="28"/>
        </w:rPr>
        <w:t xml:space="preserve">１．趣旨・背景</w:t>
      </w:r>
    </w:p>
    <w:p>
      <w:pPr>
        <w:spacing w:after="120" w:line="300"/>
      </w:pPr>
      <w:r>
        <w:rPr>
          <w:rFonts w:ascii="游ゴシック" w:cs="游ゴシック" w:eastAsia="游ゴシック" w:hAnsi="游ゴシック"/>
          <w:sz w:val="21"/>
          <w:szCs w:val="21"/>
        </w:rPr>
        <w:t xml:space="preserve">気象庁「日本の気候変動2025」によれば、1時間降水量50mm以上の年間発生回数は、統計期間の最初の10年間（1976～1985年）と直近10年間（2015～2024年）の比較で約1.5倍（約226回→約334回）に増加しており、80mm以上の「猛烈な雨」に限れば約1.7倍（約14回→約24回）となっている。強度が高い雨ほど増加率が高い点が特徴である。</w:t>
      </w:r>
    </w:p>
    <w:p>
      <w:pPr>
        <w:spacing w:after="120" w:line="300"/>
      </w:pPr>
      <w:r>
        <w:rPr>
          <w:rFonts w:ascii="游ゴシック" w:cs="游ゴシック" w:eastAsia="游ゴシック" w:hAnsi="游ゴシック"/>
          <w:sz w:val="21"/>
          <w:szCs w:val="21"/>
        </w:rPr>
        <w:t xml:space="preserve">また、数年に一度程度の激しい雨を対象とする気象庁「記録的短時間大雨情報」の年間発表回数も増加基調にあり、2013～2024年の12年平均は約90回である一方、2022年は161回、2025年は163回と、過去最多水準の年が近年相次いでいる。発表基準自体が近年引き上げられていることを踏まえても、発表回数が増えている点は実態として重い。</w:t>
      </w:r>
    </w:p>
    <w:p>
      <w:pPr>
        <w:spacing w:after="120" w:line="300"/>
      </w:pPr>
      <w:r>
        <w:rPr>
          <w:rFonts w:ascii="游ゴシック" w:cs="游ゴシック" w:eastAsia="游ゴシック" w:hAnsi="游ゴシック"/>
          <w:sz w:val="21"/>
          <w:szCs w:val="21"/>
        </w:rPr>
        <w:t xml:space="preserve">被害の中身にも変化がみられる。国土交通省の水害統計によれば、過去10年間の全国の水害被害額のうち約4割、浸水棟数では約7割が、河川の堤防決壊等による「外水氾濫」ではなく、下水道等の排水能力を超えて発生する「内水氾濫」によるものである。特に都市部ではその傾向が顕著で、東京都では水害被害額の約7割を内水氾濫が占めるとされる。</w:t>
      </w:r>
    </w:p>
    <w:p>
      <w:pPr>
        <w:spacing w:after="120" w:line="300"/>
      </w:pPr>
      <w:r>
        <w:rPr>
          <w:rFonts w:ascii="游ゴシック" w:cs="游ゴシック" w:eastAsia="游ゴシック" w:hAnsi="游ゴシック"/>
          <w:sz w:val="21"/>
          <w:szCs w:val="21"/>
        </w:rPr>
        <w:t xml:space="preserve">こうした傾向は本市にとっても他人事ではない。令和8年9月8日には愛知県内で観測史上最大級とされる記録的な豪雨が発生し、名古屋市を中心に国道19号・22号・41号等の幹線道路で道路冠水が相次いだ。本市を含む中部地方は同様の線状降水帯・短時間強雨に見舞われうる地域であり、いつ本市域で同種の事象が発生してもおかしくない状況にある。また、本市は昭和47年7月豪雨により小原地区（合併前の旧小原村域）で甚大な被害を受けた経験もあり、地形的に浸水リスクと無縁ではない。</w:t>
      </w:r>
    </w:p>
    <w:p>
      <w:pPr>
        <w:spacing w:after="120" w:line="300"/>
      </w:pPr>
      <w:r>
        <w:rPr>
          <w:rFonts w:ascii="游ゴシック" w:cs="游ゴシック" w:eastAsia="游ゴシック" w:hAnsi="游ゴシック"/>
          <w:sz w:val="21"/>
          <w:szCs w:val="21"/>
        </w:rPr>
        <w:t xml:space="preserve">本提案は、上記のデータを踏まえ、堤防決壊等を伴う大規模な河川氾濫（外水氾濫、矢作川本川の氾濫等）への対応ではなく、短時間強雨・記録的短時間大雨によって市街地で発生する内水氾濫への庁内対応力強化を目的とするものである。本市においても、短時間の集中的な降雨により道路冠水や地下空間への浸水等が発生する事案が確認されており、庁内における初動対応や情報共有の在り方が今後の課題となっている。</w:t>
      </w:r>
    </w:p>
    <w:p>
      <w:pPr>
        <w:spacing w:after="120" w:line="300"/>
      </w:pPr>
      <w:r>
        <w:rPr>
          <w:rFonts w:ascii="游ゴシック" w:cs="游ゴシック" w:eastAsia="游ゴシック" w:hAnsi="游ゴシック"/>
          <w:sz w:val="21"/>
          <w:szCs w:val="21"/>
        </w:rPr>
        <w:t xml:space="preserve">ついては、内水氾濫に絞った水災リスクの実態を改めて把握するとともに、庁内の対応体制を明文化したマニュアルを整備することで、有事における迅速かつ的確な初動対応を可能とする体制を構築したい。</w:t>
      </w:r>
    </w:p>
    <w:p>
      <w:pPr>
        <w:pStyle w:val="Heading1"/>
        <w:spacing w:after="160" w:before="320"/>
      </w:pPr>
      <w:r>
        <w:rPr>
          <w:rFonts w:ascii="游ゴシック" w:cs="游ゴシック" w:eastAsia="游ゴシック" w:hAnsi="游ゴシック"/>
          <w:b/>
          <w:bCs/>
          <w:color w:val="1F4E5F"/>
          <w:sz w:val="28"/>
          <w:szCs w:val="28"/>
        </w:rPr>
        <w:t xml:space="preserve">２．近年の豪雨傾向（データで見る現状）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2E6B7E" w:val="clear"/>
            <w:tcMar>
              <w:top w:type="dxa" w:w="100"/>
              <w:left w:type="dxa" w:w="120"/>
              <w:bottom w:type="dxa" w:w="100"/>
              <w:right w:type="dxa" w:w="120"/>
            </w:tcMar>
          </w:tcPr>
          <w:p>
            <w:r>
              <w:rPr>
                <w:rFonts w:ascii="游ゴシック" w:cs="游ゴシック" w:eastAsia="游ゴシック" w:hAnsi="游ゴシック"/>
                <w:b/>
                <w:bCs/>
                <w:color w:val="FFFFFF"/>
                <w:sz w:val="20"/>
                <w:szCs w:val="20"/>
              </w:rPr>
              <w:t xml:space="preserve">指標</w:t>
            </w:r>
          </w:p>
        </w:tc>
        <w:tc>
          <w:tcPr>
            <w:tcW w:type="dxa" w:w="5626"/>
            <w:shd w:fill="2E6B7E" w:val="clear"/>
            <w:tcMar>
              <w:top w:type="dxa" w:w="100"/>
              <w:left w:type="dxa" w:w="120"/>
              <w:bottom w:type="dxa" w:w="100"/>
              <w:right w:type="dxa" w:w="120"/>
            </w:tcMar>
          </w:tcPr>
          <w:p>
            <w:r>
              <w:rPr>
                <w:rFonts w:ascii="游ゴシック" w:cs="游ゴシック" w:eastAsia="游ゴシック" w:hAnsi="游ゴシック"/>
                <w:b/>
                <w:bCs/>
                <w:color w:val="FFFFFF"/>
                <w:sz w:val="20"/>
                <w:szCs w:val="20"/>
              </w:rPr>
              <w:t xml:space="preserve">近年の傾向</w:t>
            </w:r>
          </w:p>
        </w:tc>
      </w:tr>
      <w:tr>
        <w:tc>
          <w:tcPr>
            <w:tcW w:type="dxa" w:w="34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1時間降水量50mm以上の
年間発生回数＊1</w:t>
            </w:r>
          </w:p>
        </w:tc>
        <w:tc>
          <w:tcPr>
            <w:tcW w:type="dxa" w:w="5626"/>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直近10年（2015～2024年）は統計開始初期の約1.5倍（約226回→約334回）</w:t>
            </w:r>
          </w:p>
        </w:tc>
      </w:tr>
      <w:tr>
        <w:tc>
          <w:tcPr>
            <w:tcW w:type="dxa" w:w="34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1時間降水量80mm以上
（猛烈な雨）の年間発生回数＊2</w:t>
            </w:r>
          </w:p>
        </w:tc>
        <w:tc>
          <w:tcPr>
            <w:tcW w:type="dxa" w:w="5626"/>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同約1.7倍（約14回→約24回）。強度が高い雨ほど増加率が高い</w:t>
            </w:r>
          </w:p>
        </w:tc>
      </w:tr>
      <w:tr>
        <w:tc>
          <w:tcPr>
            <w:tcW w:type="dxa" w:w="34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記録的短時間大雨情報の
年間発表回数＊3</w:t>
            </w:r>
          </w:p>
        </w:tc>
        <w:tc>
          <w:tcPr>
            <w:tcW w:type="dxa" w:w="5626"/>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2013～2024年の平均は年約90回。2022年161回・2025年163回と、過去最多水準の年が近年相次ぐ</w:t>
            </w:r>
          </w:p>
        </w:tc>
      </w:tr>
      <w:tr>
        <w:tc>
          <w:tcPr>
            <w:tcW w:type="dxa" w:w="34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水害被害額に占める
内水氾濫の割合＊4（過去10年・全国）</w:t>
            </w:r>
          </w:p>
        </w:tc>
        <w:tc>
          <w:tcPr>
            <w:tcW w:type="dxa" w:w="5626"/>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被害額の約4割、浸水棟数の約7割が内水氾濫によるもの（都市部ではさらに高比率）</w:t>
            </w:r>
          </w:p>
        </w:tc>
      </w:tr>
    </w:tbl>
    <w:p>
      <w:pPr>
        <w:spacing w:after="120" w:line="300"/>
      </w:pPr>
      <w:r>
        <w:rPr>
          <w:rFonts w:ascii="游ゴシック" w:cs="游ゴシック" w:eastAsia="游ゴシック" w:hAnsi="游ゴシック"/>
          <w:color w:val="666666"/>
          <w:sz w:val="18"/>
          <w:szCs w:val="18"/>
        </w:rPr>
        <w:t xml:space="preserve">（出典：気象庁「日本の気候変動2025　－大気と陸・海洋に関する観測・予測評価報告書－」第5章（降水）／気象庁「記録的短時間大雨情報」発表実績（気象庁本庁発表データ）／国土交通省「水害統計」（平成20～29年の10年間集計）及び水管理・国土保全局資料をもとに作成）</w:t>
      </w:r>
    </w:p>
    <w:p>
      <w:pPr>
        <w:spacing w:after="60" w:before="120"/>
      </w:pPr>
      <w:r>
        <w:rPr>
          <w:rFonts w:ascii="游ゴシック" w:cs="游ゴシック" w:eastAsia="游ゴシック" w:hAnsi="游ゴシック"/>
          <w:b/>
          <w:bCs/>
          <w:color w:val="666666"/>
          <w:sz w:val="18"/>
          <w:szCs w:val="18"/>
        </w:rPr>
        <w:t xml:space="preserve">【出典詳細】</w:t>
      </w:r>
    </w:p>
    <w:p>
      <w:pPr>
        <w:spacing w:after="120" w:line="300"/>
      </w:pPr>
      <w:r>
        <w:rPr>
          <w:rFonts w:ascii="游ゴシック" w:cs="游ゴシック" w:eastAsia="游ゴシック" w:hAnsi="游ゴシック"/>
          <w:color w:val="666666"/>
          <w:sz w:val="18"/>
          <w:szCs w:val="18"/>
        </w:rPr>
        <w:t xml:space="preserve">＊1・2　気象庁「日本の気候変動2025－大気と陸・海洋に関する観測・予測評価報告書－」第5章。全国約1,300地点のアメダスデータにより、統計期間の最初の10年間（1976～1985年）と直近10年間（2015～2024年）の年間発生回数を比較したもの。</w:t>
      </w:r>
    </w:p>
    <w:p>
      <w:pPr>
        <w:spacing w:after="120" w:line="300"/>
      </w:pPr>
      <w:r>
        <w:rPr>
          <w:rFonts w:ascii="游ゴシック" w:cs="游ゴシック" w:eastAsia="游ゴシック" w:hAnsi="游ゴシック"/>
          <w:color w:val="666666"/>
          <w:sz w:val="18"/>
          <w:szCs w:val="18"/>
        </w:rPr>
        <w:t xml:space="preserve">＊3　気象庁「記録的短時間大雨情報」発表実績（気象庁本庁発表データ）。数年に一度程度しか発生しない激しい雨を観測・解析した際に発表される、警戒レベル4相当の情報。2013～2024年の12年平均は約90回。年別では2022年161回、2023年93回、2024年94回、2025年163回。</w:t>
      </w:r>
    </w:p>
    <w:p>
      <w:pPr>
        <w:spacing w:after="120" w:line="300"/>
      </w:pPr>
      <w:r>
        <w:rPr>
          <w:rFonts w:ascii="游ゴシック" w:cs="游ゴシック" w:eastAsia="游ゴシック" w:hAnsi="游ゴシック"/>
          <w:color w:val="666666"/>
          <w:sz w:val="18"/>
          <w:szCs w:val="18"/>
        </w:rPr>
        <w:t xml:space="preserve">＊4　国土交通省「水害統計」（平成20～29年の10年間集計）及び同省水管理・国土保全局資料。過去10年間の全国水害被害額（合計約1.8兆円）のうち約41％（約0.7兆円）、浸水棟数では約68％（約22万棟）が内水氾濫によるもの。東京都に限れば被害額の約71％を内水氾濫が占める。</w:t>
      </w:r>
    </w:p>
    <w:p>
      <w:pPr>
        <w:spacing w:after="120" w:line="300"/>
      </w:pPr>
      <w:r>
        <w:rPr>
          <w:rFonts w:ascii="游ゴシック" w:cs="游ゴシック" w:eastAsia="游ゴシック" w:hAnsi="游ゴシック"/>
          <w:sz w:val="21"/>
          <w:szCs w:val="21"/>
        </w:rPr>
        <w:t xml:space="preserve">以上のとおり、短時間強雨は「まれな現象」から「毎年一定数発生する現象」へと変化しつつあり、かつその被害の主体は堤防決壊を伴う大規模な河川氾濫ではなく、市街地の排水能力を超えて生じる内水氾濫である。したがって、優先的に備えるべきはこの内水氾濫への対応力であると考える。</w:t>
      </w:r>
    </w:p>
    <w:p>
      <w:pPr>
        <w:pStyle w:val="Heading1"/>
        <w:spacing w:after="160" w:before="320"/>
      </w:pPr>
      <w:r>
        <w:rPr>
          <w:rFonts w:ascii="游ゴシック" w:cs="游ゴシック" w:eastAsia="游ゴシック" w:hAnsi="游ゴシック"/>
          <w:b/>
          <w:bCs/>
          <w:color w:val="1F4E5F"/>
          <w:sz w:val="28"/>
          <w:szCs w:val="28"/>
        </w:rPr>
        <w:t xml:space="preserve">３．事業実施の必要性</w:t>
      </w:r>
    </w:p>
    <w:p>
      <w:pPr>
        <w:spacing w:after="120" w:line="300"/>
      </w:pPr>
      <w:r>
        <w:rPr>
          <w:rFonts w:ascii="游ゴシック" w:cs="游ゴシック" w:eastAsia="游ゴシック" w:hAnsi="游ゴシック"/>
          <w:sz w:val="21"/>
          <w:szCs w:val="21"/>
        </w:rPr>
        <w:t xml:space="preserve">前項のデータが示すとおり、短時間強雨・内水氾濫は「まれにしか起きない事象」ではなく「毎年発生し得る事象」へと変化しており、本市においても現実的なリスクとして到来する蓋然性は高い。以下の観点から、本事業は先送りすべきでない喫緊の取り組みと考える。</w:t>
      </w:r>
    </w:p>
    <w:p>
      <w:pPr>
        <w:pStyle w:val="Heading2"/>
        <w:spacing w:after="120" w:before="240"/>
      </w:pPr>
      <w:r>
        <w:rPr>
          <w:rFonts w:ascii="游ゴシック" w:cs="游ゴシック" w:eastAsia="游ゴシック" w:hAnsi="游ゴシック"/>
          <w:b/>
          <w:bCs/>
          <w:color w:val="2E6B7E"/>
          <w:sz w:val="24"/>
          <w:szCs w:val="24"/>
        </w:rPr>
        <w:t xml:space="preserve">（１）対応しないまま有事を迎えることのリスク</w:t>
      </w:r>
    </w:p>
    <w:p>
      <w:pPr>
        <w:spacing w:after="120" w:line="300"/>
      </w:pPr>
      <w:r>
        <w:rPr>
          <w:rFonts w:ascii="游ゴシック" w:cs="游ゴシック" w:eastAsia="游ゴシック" w:hAnsi="游ゴシック"/>
          <w:sz w:val="21"/>
          <w:szCs w:val="21"/>
        </w:rPr>
        <w:t xml:space="preserve">本市は既に洪水ハザードマップにおいて「内水氾濫による浸水」を河川氾濫と区分して図示しているほか、内水浸水想定区域図（計画降雨）・雨水出水浸水想定区域図（想定最大規模降雨）の整備や、冠水が想定されるアンダーパスへのエアー遮断機・電光表示板の設置（鴛鴨町石根、生駒町宝ほか）など、個別の対策はすでに講じている。しかし、これらの情報・設備は所管部署ごとに個別最適で整備されており、豪雨発生時に庁内全体でどう連携し、誰が何を確認・判断するかという「運用面」は体系的に整理されていない。</w:t>
      </w:r>
    </w:p>
    <w:p>
      <w:pPr>
        <w:pStyle w:val="ListParagraph"/>
        <w:numPr>
          <w:ilvl w:val="0"/>
          <w:numId w:val="2"/>
        </w:numPr>
        <w:spacing w:after="80" w:line="280"/>
      </w:pPr>
      <w:r>
        <w:rPr>
          <w:rFonts w:ascii="游ゴシック" w:cs="游ゴシック" w:eastAsia="游ゴシック" w:hAnsi="游ゴシック"/>
          <w:sz w:val="21"/>
          <w:szCs w:val="21"/>
        </w:rPr>
        <w:t xml:space="preserve">内水氾濫リスク情報（ハザードマップ、想定区域図、冠水実績箇所等）が部署間で統合的に整理・共有されていない</w:t>
      </w:r>
    </w:p>
    <w:p>
      <w:pPr>
        <w:pStyle w:val="ListParagraph"/>
        <w:numPr>
          <w:ilvl w:val="0"/>
          <w:numId w:val="2"/>
        </w:numPr>
        <w:spacing w:after="80" w:line="280"/>
      </w:pPr>
      <w:r>
        <w:rPr>
          <w:rFonts w:ascii="游ゴシック" w:cs="游ゴシック" w:eastAsia="游ゴシック" w:hAnsi="游ゴシック"/>
          <w:sz w:val="21"/>
          <w:szCs w:val="21"/>
        </w:rPr>
        <w:t xml:space="preserve">要配慮者施設等、優先的に確認・避難誘導すべき対象の把握が、既存の点在する情報からでは有事に間に合わないおそれがある</w:t>
      </w:r>
    </w:p>
    <w:p>
      <w:pPr>
        <w:pStyle w:val="ListParagraph"/>
        <w:numPr>
          <w:ilvl w:val="0"/>
          <w:numId w:val="2"/>
        </w:numPr>
        <w:spacing w:after="80" w:line="280"/>
      </w:pPr>
      <w:r>
        <w:rPr>
          <w:rFonts w:ascii="游ゴシック" w:cs="游ゴシック" w:eastAsia="游ゴシック" w:hAnsi="游ゴシック"/>
          <w:sz w:val="21"/>
          <w:szCs w:val="21"/>
        </w:rPr>
        <w:t xml:space="preserve">参集基準・役割分担が不明確なまま有事を迎えれば、初動対応の遅れがそのまま被害拡大に直結し、事後的に「なぜ事前に備えていなかったのか」という説明責任を問われる</w:t>
      </w:r>
    </w:p>
    <w:p>
      <w:pPr>
        <w:pStyle w:val="ListParagraph"/>
        <w:numPr>
          <w:ilvl w:val="0"/>
          <w:numId w:val="2"/>
        </w:numPr>
        <w:spacing w:after="80" w:line="280"/>
      </w:pPr>
      <w:r>
        <w:rPr>
          <w:rFonts w:ascii="游ゴシック" w:cs="游ゴシック" w:eastAsia="游ゴシック" w:hAnsi="游ゴシック"/>
          <w:sz w:val="21"/>
          <w:szCs w:val="21"/>
        </w:rPr>
        <w:t xml:space="preserve">対応が特定職員の経験・判断に依存した状態では、当該職員の不在・異動時に組織として対応力を維持できない</w:t>
      </w:r>
    </w:p>
    <w:p>
      <w:pPr>
        <w:spacing w:after="120" w:line="300"/>
      </w:pPr>
      <w:r>
        <w:rPr>
          <w:rFonts w:ascii="游ゴシック" w:cs="游ゴシック" w:eastAsia="游ゴシック" w:hAnsi="游ゴシック"/>
          <w:sz w:val="21"/>
          <w:szCs w:val="21"/>
        </w:rPr>
        <w:t xml:space="preserve">特に④については、近年の人事異動や担当者の入れ替わりを踏まえると、「知っている人がいるから大丈夫」という現状の体制は、いつ機能しなくなってもおかしくない構造的な脆弱性である。</w:t>
      </w:r>
    </w:p>
    <w:p>
      <w:pPr>
        <w:pStyle w:val="Heading2"/>
        <w:spacing w:after="120" w:before="240"/>
      </w:pPr>
      <w:r>
        <w:rPr>
          <w:rFonts w:ascii="游ゴシック" w:cs="游ゴシック" w:eastAsia="游ゴシック" w:hAnsi="游ゴシック"/>
          <w:b/>
          <w:bCs/>
          <w:color w:val="2E6B7E"/>
          <w:sz w:val="24"/>
          <w:szCs w:val="24"/>
        </w:rPr>
        <w:t xml:space="preserve">（２）対策コストと被害コストの比較</w:t>
      </w:r>
    </w:p>
    <w:p>
      <w:pPr>
        <w:spacing w:after="120" w:line="300"/>
      </w:pPr>
      <w:r>
        <w:rPr>
          <w:rFonts w:ascii="游ゴシック" w:cs="游ゴシック" w:eastAsia="游ゴシック" w:hAnsi="游ゴシック"/>
          <w:sz w:val="21"/>
          <w:szCs w:val="21"/>
        </w:rPr>
        <w:t xml:space="preserve">国土交通省の水害統計によれば、内水氾濫による被害額は過去10年間で全国約0.7兆円、年平均で概ね700億円規模に上る。一方、本事業はリスク調査・庁内サーベイ・マニュアル整備を内製で行うことを基本とし、大規模な財政負担を伴わない。事後対応（被害復旧、行政としての説明責任対応、住民対応）に要するコスト・労力と比較すれば、事前の体制整備は費用対効果の極めて高い先行投資と言える。</w:t>
      </w:r>
    </w:p>
    <w:p>
      <w:pPr>
        <w:pStyle w:val="Heading2"/>
        <w:spacing w:after="120" w:before="240"/>
      </w:pPr>
      <w:r>
        <w:rPr>
          <w:rFonts w:ascii="游ゴシック" w:cs="游ゴシック" w:eastAsia="游ゴシック" w:hAnsi="游ゴシック"/>
          <w:b/>
          <w:bCs/>
          <w:color w:val="2E6B7E"/>
          <w:sz w:val="24"/>
          <w:szCs w:val="24"/>
        </w:rPr>
        <w:t xml:space="preserve">（３）国の政策動向との整合性</w:t>
      </w:r>
    </w:p>
    <w:p>
      <w:pPr>
        <w:spacing w:after="120" w:line="300"/>
      </w:pPr>
      <w:r>
        <w:rPr>
          <w:rFonts w:ascii="游ゴシック" w:cs="游ゴシック" w:eastAsia="游ゴシック" w:hAnsi="游ゴシック"/>
          <w:sz w:val="21"/>
          <w:szCs w:val="21"/>
        </w:rPr>
        <w:t xml:space="preserve">令和3年の流域治水関連法の施行以降、国は河川管理者のみならず、市街地を管理する自治体自身にも、内水対策を含めた「流域治水」の考え方に基づく総合的な水災害対策への取組みを求めている。本事業は、この国の方針・予算動向に沿ったものであり、対外的にも説明のしやすい取組みである。</w:t>
      </w:r>
    </w:p>
    <w:p>
      <w:pPr>
        <w:pStyle w:val="Heading2"/>
        <w:spacing w:after="120" w:before="240"/>
      </w:pPr>
      <w:r>
        <w:rPr>
          <w:rFonts w:ascii="游ゴシック" w:cs="游ゴシック" w:eastAsia="游ゴシック" w:hAnsi="游ゴシック"/>
          <w:b/>
          <w:bCs/>
          <w:color w:val="2E6B7E"/>
          <w:sz w:val="24"/>
          <w:szCs w:val="24"/>
        </w:rPr>
        <w:t xml:space="preserve">（４）他自治体の動向</w:t>
      </w:r>
    </w:p>
    <w:p>
      <w:pPr>
        <w:spacing w:after="120" w:line="300"/>
      </w:pPr>
      <w:r>
        <w:rPr>
          <w:rFonts w:ascii="游ゴシック" w:cs="游ゴシック" w:eastAsia="游ゴシック" w:hAnsi="游ゴシック"/>
          <w:sz w:val="21"/>
          <w:szCs w:val="21"/>
        </w:rPr>
        <w:t xml:space="preserve">内水氾濫リスクの高い都市部を中心に、内水版ハザードマップの整備や庁内対応マニュアルの策定を既に進めている自治体が増えている。本市が対応を先送りした場合、実際に豪雨が発生した際の初動対応力に、近隣自治体との間で差が生じるおそれがある。</w:t>
      </w:r>
    </w:p>
    <w:p>
      <w:pPr>
        <w:spacing w:after="120" w:line="300"/>
      </w:pPr>
      <w:r>
        <w:rPr>
          <w:rFonts w:ascii="游ゴシック" w:cs="游ゴシック" w:eastAsia="游ゴシック" w:hAnsi="游ゴシック"/>
          <w:sz w:val="21"/>
          <w:szCs w:val="21"/>
        </w:rPr>
        <w:t xml:space="preserve">以上より、本事業は「望ましい取組み」ではなく、近年の豪雨傾向を踏まえれば「今、着手すべき取組み」であると考える。</w:t>
      </w:r>
    </w:p>
    <w:p>
      <w:pPr>
        <w:pStyle w:val="Heading1"/>
        <w:spacing w:after="160" w:before="320"/>
      </w:pPr>
      <w:r>
        <w:rPr>
          <w:rFonts w:ascii="游ゴシック" w:cs="游ゴシック" w:eastAsia="游ゴシック" w:hAnsi="游ゴシック"/>
          <w:b/>
          <w:bCs/>
          <w:color w:val="1F4E5F"/>
          <w:sz w:val="28"/>
          <w:szCs w:val="28"/>
        </w:rPr>
        <w:t xml:space="preserve">４．他自治体における庁舎浸水の実例</w:t>
      </w:r>
    </w:p>
    <w:p>
      <w:pPr>
        <w:spacing w:after="120" w:line="300"/>
      </w:pPr>
      <w:r>
        <w:rPr>
          <w:rFonts w:ascii="游ゴシック" w:cs="游ゴシック" w:eastAsia="游ゴシック" w:hAnsi="游ゴシック"/>
          <w:sz w:val="21"/>
          <w:szCs w:val="21"/>
        </w:rPr>
        <w:t xml:space="preserve">浸水は住民や地域だけの問題ではない。近年、庁舎そのものが浸水し、行政機能自体が停止する事例が全国で発生している。以下は、本市にとっても教訓とすべき代表例である。</w:t>
      </w:r>
    </w:p>
    <w:p>
      <w:pPr>
        <w:pStyle w:val="Heading2"/>
        <w:spacing w:after="120" w:before="240"/>
      </w:pPr>
      <w:r>
        <w:rPr>
          <w:rFonts w:ascii="游ゴシック" w:cs="游ゴシック" w:eastAsia="游ゴシック" w:hAnsi="游ゴシック"/>
          <w:b/>
          <w:bCs/>
          <w:color w:val="2E6B7E"/>
          <w:sz w:val="24"/>
          <w:szCs w:val="24"/>
        </w:rPr>
        <w:t xml:space="preserve">事例１：常総市役所（茨城県、平成27年9月　関東・東北豪雨）</w:t>
      </w:r>
    </w:p>
    <w:p>
      <w:pPr>
        <w:spacing w:after="120" w:line="300"/>
      </w:pPr>
      <w:r>
        <w:rPr>
          <w:rFonts w:ascii="游ゴシック" w:cs="游ゴシック" w:eastAsia="游ゴシック" w:hAnsi="游ゴシック"/>
          <w:sz w:val="21"/>
          <w:szCs w:val="21"/>
        </w:rPr>
        <w:t xml:space="preserve">鬼怒川の氾濫により市街地が広範囲に浸水し、常総市の災害対応拠点である市役所本庁舎が浸水。屋外に設置していた非常用電源設備が使用不能となった。災害対応の最中に庁舎自体の機能が失われる事態を招いた。</w:t>
      </w:r>
    </w:p>
    <w:p>
      <w:pPr>
        <w:pStyle w:val="Heading2"/>
        <w:spacing w:after="120" w:before="240"/>
      </w:pPr>
      <w:r>
        <w:rPr>
          <w:rFonts w:ascii="游ゴシック" w:cs="游ゴシック" w:eastAsia="游ゴシック" w:hAnsi="游ゴシック"/>
          <w:b/>
          <w:bCs/>
          <w:color w:val="2E6B7E"/>
          <w:sz w:val="24"/>
          <w:szCs w:val="24"/>
        </w:rPr>
        <w:t xml:space="preserve">事例２：日立市役所（茨城県、令和5年9月　台風13号）</w:t>
      </w:r>
    </w:p>
    <w:p>
      <w:pPr>
        <w:spacing w:after="120" w:line="300"/>
      </w:pPr>
      <w:r>
        <w:rPr>
          <w:rFonts w:ascii="游ゴシック" w:cs="游ゴシック" w:eastAsia="游ゴシック" w:hAnsi="游ゴシック"/>
          <w:sz w:val="21"/>
          <w:szCs w:val="21"/>
        </w:rPr>
        <w:t xml:space="preserve">市役所近くを流れる2つの河川の合流部から水があふれ、庁舎の地下1階駐車場スロープから濁流が流入した。地下の機械室（受変電設備・非常用電源設備）が最大約120cm浸水し、庁舎は約1日にわたり全電源を喪失した。災害対策本部は近くの消防本部への移転を余儀なくされ、証明書発行等の窓口業務は停止、電話も一部不通となった。</w:t>
      </w:r>
    </w:p>
    <w:p>
      <w:pPr>
        <w:spacing w:after="120" w:line="300"/>
      </w:pPr>
      <w:r>
        <w:rPr>
          <w:rFonts w:ascii="游ゴシック" w:cs="游ゴシック" w:eastAsia="游ゴシック" w:hAnsi="游ゴシック"/>
          <w:sz w:val="21"/>
          <w:szCs w:val="21"/>
        </w:rPr>
        <w:t xml:space="preserve">この庁舎は東日本大震災の教訓を踏まえ「災害に強い庁舎」を掲げて約100億円をかけて平成31年（2019年）に完成した新庁舎であり、復旧には2億円超を要した。日立市が設置した有識者検討会（座長：木内望・国土技術政策総合研究所住宅研究部長）による調査では、地下への浸水量は約1万立方メートル（小学校プール約26杯分）にのぼり、地下1階機械室・電気室への浸水経路（駐車場出入口の隙間、免震層の床ハッチ、電線貫通口等）は、いずれも浸水対策が行われていなかったことが判明した。</w:t>
      </w:r>
    </w:p>
    <w:p>
      <w:pPr>
        <w:pStyle w:val="Heading2"/>
        <w:spacing w:after="120" w:before="240"/>
      </w:pPr>
      <w:r>
        <w:rPr>
          <w:rFonts w:ascii="游ゴシック" w:cs="游ゴシック" w:eastAsia="游ゴシック" w:hAnsi="游ゴシック"/>
          <w:b/>
          <w:bCs/>
          <w:color w:val="2E6B7E"/>
          <w:sz w:val="24"/>
          <w:szCs w:val="24"/>
        </w:rPr>
        <w:t xml:space="preserve">参考：庁舎周辺の孤立事例</w:t>
      </w:r>
    </w:p>
    <w:p>
      <w:pPr>
        <w:spacing w:after="120" w:line="300"/>
      </w:pPr>
      <w:r>
        <w:rPr>
          <w:rFonts w:ascii="游ゴシック" w:cs="游ゴシック" w:eastAsia="游ゴシック" w:hAnsi="游ゴシック"/>
          <w:sz w:val="21"/>
          <w:szCs w:val="21"/>
        </w:rPr>
        <w:t xml:space="preserve">宮城県丸森町役場（令和元年10月、台風19号）でも、庁舎周辺が冠水してアクセス困難な状況が継続し、通信手段が防災無線のみに限られる時間帯が生じた。防災拠点施設そのものが周辺の浸水によって孤立し得ることを示す事例である。</w:t>
      </w:r>
    </w:p>
    <w:p>
      <w:pPr>
        <w:pStyle w:val="Heading2"/>
        <w:spacing w:after="120" w:before="240"/>
      </w:pPr>
      <w:r>
        <w:rPr>
          <w:rFonts w:ascii="游ゴシック" w:cs="游ゴシック" w:eastAsia="游ゴシック" w:hAnsi="游ゴシック"/>
          <w:b/>
          <w:bCs/>
          <w:color w:val="2E6B7E"/>
          <w:sz w:val="24"/>
          <w:szCs w:val="24"/>
        </w:rPr>
        <w:t xml:space="preserve">この事例群から読み取れる教訓</w:t>
      </w:r>
    </w:p>
    <w:p>
      <w:pPr>
        <w:pStyle w:val="ListParagraph"/>
        <w:numPr>
          <w:ilvl w:val="0"/>
          <w:numId w:val="2"/>
        </w:numPr>
        <w:spacing w:after="80" w:line="280"/>
      </w:pPr>
      <w:r>
        <w:rPr>
          <w:rFonts w:ascii="游ゴシック" w:cs="游ゴシック" w:eastAsia="游ゴシック" w:hAnsi="游ゴシック"/>
          <w:sz w:val="21"/>
          <w:szCs w:val="21"/>
        </w:rPr>
        <w:t xml:space="preserve">耐震性能等の「地震への備え」は重視されても、浸水による庁舎自体の機能停止・孤立リスクは見落とされやすい</w:t>
      </w:r>
    </w:p>
    <w:p>
      <w:pPr>
        <w:pStyle w:val="ListParagraph"/>
        <w:numPr>
          <w:ilvl w:val="0"/>
          <w:numId w:val="2"/>
        </w:numPr>
        <w:spacing w:after="80" w:line="280"/>
      </w:pPr>
      <w:r>
        <w:rPr>
          <w:rFonts w:ascii="游ゴシック" w:cs="游ゴシック" w:eastAsia="游ゴシック" w:hAnsi="游ゴシック"/>
          <w:sz w:val="21"/>
          <w:szCs w:val="21"/>
        </w:rPr>
        <w:t xml:space="preserve">受変電設備・非常用電源・防災無線等の重要設備が地下・低層階に集中していると、豪雨一つで庁舎自体の機能が丸ごと停止しかねない</w:t>
      </w:r>
    </w:p>
    <w:p>
      <w:pPr>
        <w:pStyle w:val="ListParagraph"/>
        <w:numPr>
          <w:ilvl w:val="0"/>
          <w:numId w:val="2"/>
        </w:numPr>
        <w:spacing w:after="80" w:line="280"/>
      </w:pPr>
      <w:r>
        <w:rPr>
          <w:rFonts w:ascii="游ゴシック" w:cs="游ゴシック" w:eastAsia="游ゴシック" w:hAnsi="游ゴシック"/>
          <w:sz w:val="21"/>
          <w:szCs w:val="21"/>
        </w:rPr>
        <w:t xml:space="preserve">常総市の教訓（屋外設置の非常用電源が水没）が全国的に知られていたにもかかわらず、日立市の新庁舎でも同種の設計上の弱点が見直されないまま踏襲された</w:t>
      </w:r>
    </w:p>
    <w:p>
      <w:pPr>
        <w:pStyle w:val="ListParagraph"/>
        <w:numPr>
          <w:ilvl w:val="0"/>
          <w:numId w:val="2"/>
        </w:numPr>
        <w:spacing w:after="80" w:line="280"/>
      </w:pPr>
      <w:r>
        <w:rPr>
          <w:rFonts w:ascii="游ゴシック" w:cs="游ゴシック" w:eastAsia="游ゴシック" w:hAnsi="游ゴシック"/>
          <w:sz w:val="21"/>
          <w:szCs w:val="21"/>
        </w:rPr>
        <w:t xml:space="preserve">庁舎・災害対策本部そのものが浸水・孤立で機能を失えば、住民支援はおろか、市自身の業務継続（BCP）が根本から破綻する</w:t>
      </w:r>
    </w:p>
    <w:p>
      <w:pPr>
        <w:spacing w:after="120" w:line="300"/>
      </w:pPr>
      <w:r>
        <w:rPr>
          <w:rFonts w:ascii="游ゴシック" w:cs="游ゴシック" w:eastAsia="游ゴシック" w:hAnsi="游ゴシック"/>
          <w:color w:val="666666"/>
          <w:sz w:val="18"/>
          <w:szCs w:val="18"/>
        </w:rPr>
        <w:t xml:space="preserve">（出典：国土交通省 社会資本整備審議会河川分科会「まちづくりと連携した水災害対策について」（令和2年1月17日、資料4）／日立市公式サイト「第1回本庁舎浸水対策に関する在り方検討ワーキングを開催しました。」及び「日立市本庁舎浸水対策に関する在り方検討ワーキングの中間報告について」）</w:t>
      </w:r>
    </w:p>
    <w:p>
      <w:pPr>
        <w:spacing w:after="120" w:line="300"/>
      </w:pPr>
      <w:r>
        <w:rPr>
          <w:rFonts w:ascii="游ゴシック" w:cs="游ゴシック" w:eastAsia="游ゴシック" w:hAnsi="游ゴシック"/>
          <w:sz w:val="21"/>
          <w:szCs w:val="21"/>
        </w:rPr>
        <w:t xml:space="preserve">本市庁舎（西町3-60）についても、重要設備の設置状況や浸水想定区域との位置関係等を、これまで体系的に確認したことはない。これは特定設備の更新や改修を直ちに求めるものではなく、「まず庁舎自身のリスクがどこにあるかを把握すること」こそが、あらゆる対策の出発点であるという指摘である。</w:t>
      </w:r>
    </w:p>
    <w:p>
      <w:pPr>
        <w:spacing w:after="120" w:line="300"/>
      </w:pPr>
      <w:r>
        <w:rPr>
          <w:rFonts w:ascii="游ゴシック" w:cs="游ゴシック" w:eastAsia="游ゴシック" w:hAnsi="游ゴシック"/>
          <w:sz w:val="21"/>
          <w:szCs w:val="21"/>
        </w:rPr>
        <w:t xml:space="preserve">ついては、次章で述べる①水災リスクの把握、②庁内サーベイ、③対応マニュアルの策定という3本柱を通じて、住民対応力の強化にとどまらず、市役所自身が有事に機能を失わないための備えを構築したい。</w:t>
      </w:r>
    </w:p>
    <w:p>
      <w:pPr>
        <w:pStyle w:val="Heading1"/>
        <w:spacing w:after="160" w:before="320"/>
      </w:pPr>
      <w:r>
        <w:rPr>
          <w:rFonts w:ascii="游ゴシック" w:cs="游ゴシック" w:eastAsia="游ゴシック" w:hAnsi="游ゴシック"/>
          <w:b/>
          <w:bCs/>
          <w:color w:val="1F4E5F"/>
          <w:sz w:val="28"/>
          <w:szCs w:val="28"/>
        </w:rPr>
        <w:t xml:space="preserve">５．提案内容</w:t>
      </w:r>
    </w:p>
    <w:p>
      <w:pPr>
        <w:spacing w:after="120" w:line="300"/>
      </w:pPr>
      <w:r>
        <w:rPr>
          <w:rFonts w:ascii="游ゴシック" w:cs="游ゴシック" w:eastAsia="游ゴシック" w:hAnsi="游ゴシック"/>
          <w:sz w:val="21"/>
          <w:szCs w:val="21"/>
        </w:rPr>
        <w:t xml:space="preserve">上記の必要性を踏まえ、本事業では以下の３本柱で取り組みを進める。</w:t>
      </w:r>
    </w:p>
    <w:p>
      <w:pPr>
        <w:pStyle w:val="Heading2"/>
        <w:spacing w:after="120" w:before="240"/>
      </w:pPr>
      <w:r>
        <w:rPr>
          <w:rFonts w:ascii="游ゴシック" w:cs="游ゴシック" w:eastAsia="游ゴシック" w:hAnsi="游ゴシック"/>
          <w:b/>
          <w:bCs/>
          <w:color w:val="2E6B7E"/>
          <w:sz w:val="24"/>
          <w:szCs w:val="24"/>
        </w:rPr>
        <w:t xml:space="preserve">（１）水災リスクの把握（内水氾濫に特化）</w:t>
      </w:r>
    </w:p>
    <w:p>
      <w:pPr>
        <w:pStyle w:val="ListParagraph"/>
        <w:numPr>
          <w:ilvl w:val="0"/>
          <w:numId w:val="2"/>
        </w:numPr>
        <w:spacing w:after="80" w:line="280"/>
      </w:pPr>
      <w:r>
        <w:rPr>
          <w:rFonts w:ascii="游ゴシック" w:cs="游ゴシック" w:eastAsia="游ゴシック" w:hAnsi="游ゴシック"/>
          <w:sz w:val="21"/>
          <w:szCs w:val="21"/>
        </w:rPr>
        <w:t xml:space="preserve">既存の洪水ハザードマップ・内水浸水想定区域図・雨水出水浸水想定区域図、及び冠水実績のあるアンダーパス等（永覚町須池、上丘町長根、御幸町1丁目ほか）の情報を部署横断で統合整理（堤防決壊等の外水氾濫想定は対象外）</w:t>
      </w:r>
    </w:p>
    <w:p>
      <w:pPr>
        <w:pStyle w:val="ListParagraph"/>
        <w:numPr>
          <w:ilvl w:val="0"/>
          <w:numId w:val="2"/>
        </w:numPr>
        <w:spacing w:after="80" w:line="280"/>
      </w:pPr>
      <w:r>
        <w:rPr>
          <w:rFonts w:ascii="游ゴシック" w:cs="游ゴシック" w:eastAsia="游ゴシック" w:hAnsi="游ゴシック"/>
          <w:sz w:val="21"/>
          <w:szCs w:val="21"/>
        </w:rPr>
        <w:t xml:space="preserve">本庁舎・支所等における受変電設備・非常用電源・防災無線等重要設備の設置場所と浸水想定区域との位置関係の確認</w:t>
      </w:r>
    </w:p>
    <w:p>
      <w:pPr>
        <w:pStyle w:val="ListParagraph"/>
        <w:numPr>
          <w:ilvl w:val="0"/>
          <w:numId w:val="2"/>
        </w:numPr>
        <w:spacing w:after="80" w:line="280"/>
      </w:pPr>
      <w:r>
        <w:rPr>
          <w:rFonts w:ascii="游ゴシック" w:cs="游ゴシック" w:eastAsia="游ゴシック" w:hAnsi="游ゴシック"/>
          <w:sz w:val="21"/>
          <w:szCs w:val="21"/>
        </w:rPr>
        <w:t xml:space="preserve">要配慮者施設・地下施設・低地部等、優先確認箇所のリスト化</w:t>
      </w:r>
    </w:p>
    <w:p>
      <w:pPr>
        <w:pStyle w:val="ListParagraph"/>
        <w:numPr>
          <w:ilvl w:val="0"/>
          <w:numId w:val="2"/>
        </w:numPr>
        <w:spacing w:after="80" w:line="280"/>
      </w:pPr>
      <w:r>
        <w:rPr>
          <w:rFonts w:ascii="游ゴシック" w:cs="游ゴシック" w:eastAsia="游ゴシック" w:hAnsi="游ゴシック"/>
          <w:sz w:val="21"/>
          <w:szCs w:val="21"/>
        </w:rPr>
        <w:t xml:space="preserve">過去の内水氾濫・道路冠水の被害履歴、ヒヤリハット事例の収集整理</w:t>
      </w:r>
    </w:p>
    <w:p>
      <w:pPr>
        <w:pStyle w:val="Heading2"/>
        <w:spacing w:after="120" w:before="240"/>
      </w:pPr>
      <w:r>
        <w:rPr>
          <w:rFonts w:ascii="游ゴシック" w:cs="游ゴシック" w:eastAsia="游ゴシック" w:hAnsi="游ゴシック"/>
          <w:b/>
          <w:bCs/>
          <w:color w:val="2E6B7E"/>
          <w:sz w:val="24"/>
          <w:szCs w:val="24"/>
        </w:rPr>
        <w:t xml:space="preserve">（２）庁内サーベイの実施</w:t>
      </w:r>
    </w:p>
    <w:p>
      <w:pPr>
        <w:pStyle w:val="ListParagraph"/>
        <w:numPr>
          <w:ilvl w:val="0"/>
          <w:numId w:val="2"/>
        </w:numPr>
        <w:spacing w:after="80" w:line="280"/>
      </w:pPr>
      <w:r>
        <w:rPr>
          <w:rFonts w:ascii="游ゴシック" w:cs="游ゴシック" w:eastAsia="游ゴシック" w:hAnsi="游ゴシック"/>
          <w:sz w:val="21"/>
          <w:szCs w:val="21"/>
        </w:rPr>
        <w:t xml:space="preserve">関係部署（防災対策課、道路管理担当課、上下水道局、福祉部門等）への聞き取り調査</w:t>
      </w:r>
    </w:p>
    <w:p>
      <w:pPr>
        <w:pStyle w:val="ListParagraph"/>
        <w:numPr>
          <w:ilvl w:val="0"/>
          <w:numId w:val="2"/>
        </w:numPr>
        <w:spacing w:after="80" w:line="280"/>
      </w:pPr>
      <w:r>
        <w:rPr>
          <w:rFonts w:ascii="游ゴシック" w:cs="游ゴシック" w:eastAsia="游ゴシック" w:hAnsi="游ゴシック"/>
          <w:sz w:val="21"/>
          <w:szCs w:val="21"/>
        </w:rPr>
        <w:t xml:space="preserve">過去の豪雨対応時における課題・困りごとの洗い出し</w:t>
      </w:r>
    </w:p>
    <w:p>
      <w:pPr>
        <w:pStyle w:val="ListParagraph"/>
        <w:numPr>
          <w:ilvl w:val="0"/>
          <w:numId w:val="2"/>
        </w:numPr>
        <w:spacing w:after="80" w:line="280"/>
      </w:pPr>
      <w:r>
        <w:rPr>
          <w:rFonts w:ascii="游ゴシック" w:cs="游ゴシック" w:eastAsia="游ゴシック" w:hAnsi="游ゴシック"/>
          <w:sz w:val="21"/>
          <w:szCs w:val="21"/>
        </w:rPr>
        <w:t xml:space="preserve">現場職員の対応実態に関するアンケート調査</w:t>
      </w:r>
    </w:p>
    <w:p>
      <w:pPr>
        <w:pStyle w:val="Heading2"/>
        <w:spacing w:after="120" w:before="240"/>
      </w:pPr>
      <w:r>
        <w:rPr>
          <w:rFonts w:ascii="游ゴシック" w:cs="游ゴシック" w:eastAsia="游ゴシック" w:hAnsi="游ゴシック"/>
          <w:b/>
          <w:bCs/>
          <w:color w:val="2E6B7E"/>
          <w:sz w:val="24"/>
          <w:szCs w:val="24"/>
        </w:rPr>
        <w:t xml:space="preserve">（３）対応マニュアルの作成</w:t>
      </w:r>
    </w:p>
    <w:p>
      <w:pPr>
        <w:pStyle w:val="ListParagraph"/>
        <w:numPr>
          <w:ilvl w:val="0"/>
          <w:numId w:val="2"/>
        </w:numPr>
        <w:spacing w:after="80" w:line="280"/>
      </w:pPr>
      <w:r>
        <w:rPr>
          <w:rFonts w:ascii="游ゴシック" w:cs="游ゴシック" w:eastAsia="游ゴシック" w:hAnsi="游ゴシック"/>
          <w:sz w:val="21"/>
          <w:szCs w:val="21"/>
        </w:rPr>
        <w:t xml:space="preserve">豪雨発生時の初動対応フロー（警戒レベル別）の整理</w:t>
      </w:r>
    </w:p>
    <w:p>
      <w:pPr>
        <w:pStyle w:val="ListParagraph"/>
        <w:numPr>
          <w:ilvl w:val="0"/>
          <w:numId w:val="2"/>
        </w:numPr>
        <w:spacing w:after="80" w:line="280"/>
      </w:pPr>
      <w:r>
        <w:rPr>
          <w:rFonts w:ascii="游ゴシック" w:cs="游ゴシック" w:eastAsia="游ゴシック" w:hAnsi="游ゴシック"/>
          <w:sz w:val="21"/>
          <w:szCs w:val="21"/>
        </w:rPr>
        <w:t xml:space="preserve">参集基準・非常配備体制の明文化</w:t>
      </w:r>
    </w:p>
    <w:p>
      <w:pPr>
        <w:pStyle w:val="ListParagraph"/>
        <w:numPr>
          <w:ilvl w:val="0"/>
          <w:numId w:val="2"/>
        </w:numPr>
        <w:spacing w:after="80" w:line="280"/>
      </w:pPr>
      <w:r>
        <w:rPr>
          <w:rFonts w:ascii="游ゴシック" w:cs="游ゴシック" w:eastAsia="游ゴシック" w:hAnsi="游ゴシック"/>
          <w:sz w:val="21"/>
          <w:szCs w:val="21"/>
        </w:rPr>
        <w:t xml:space="preserve">庁舎自体が機能不全に陥った場合の代替拠点・電源確保等、業務継続の観点を含めた対応手順の整理</w:t>
      </w:r>
    </w:p>
    <w:p>
      <w:pPr>
        <w:pStyle w:val="ListParagraph"/>
        <w:numPr>
          <w:ilvl w:val="0"/>
          <w:numId w:val="2"/>
        </w:numPr>
        <w:spacing w:after="80" w:line="280"/>
      </w:pPr>
      <w:r>
        <w:rPr>
          <w:rFonts w:ascii="游ゴシック" w:cs="游ゴシック" w:eastAsia="游ゴシック" w:hAnsi="游ゴシック"/>
          <w:sz w:val="21"/>
          <w:szCs w:val="21"/>
        </w:rPr>
        <w:t xml:space="preserve">部署別の役割分担・情報共有ルートの明確化</w:t>
      </w:r>
    </w:p>
    <w:p>
      <w:pPr>
        <w:pStyle w:val="ListParagraph"/>
        <w:numPr>
          <w:ilvl w:val="0"/>
          <w:numId w:val="2"/>
        </w:numPr>
        <w:spacing w:after="80" w:line="280"/>
      </w:pPr>
      <w:r>
        <w:rPr>
          <w:rFonts w:ascii="游ゴシック" w:cs="游ゴシック" w:eastAsia="游ゴシック" w:hAnsi="游ゴシック"/>
          <w:sz w:val="21"/>
          <w:szCs w:val="21"/>
        </w:rPr>
        <w:t xml:space="preserve">試行運用を経たマニュアルの確定・全庁展開</w:t>
      </w:r>
    </w:p>
    <w:p>
      <w:pPr>
        <w:pStyle w:val="Heading1"/>
        <w:spacing w:after="160" w:before="320"/>
      </w:pPr>
      <w:r>
        <w:rPr>
          <w:rFonts w:ascii="游ゴシック" w:cs="游ゴシック" w:eastAsia="游ゴシック" w:hAnsi="游ゴシック"/>
          <w:b/>
          <w:bCs/>
          <w:color w:val="1F4E5F"/>
          <w:sz w:val="28"/>
          <w:szCs w:val="28"/>
        </w:rPr>
        <w:t xml:space="preserve">６．実施スケジュール（単年度事業）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shd w:fill="2E6B7E" w:val="clear"/>
            <w:tcMar>
              <w:top w:type="dxa" w:w="100"/>
              <w:left w:type="dxa" w:w="120"/>
              <w:bottom w:type="dxa" w:w="100"/>
              <w:right w:type="dxa" w:w="120"/>
            </w:tcMar>
          </w:tcPr>
          <w:p>
            <w:r>
              <w:rPr>
                <w:rFonts w:ascii="游ゴシック" w:cs="游ゴシック" w:eastAsia="游ゴシック" w:hAnsi="游ゴシック"/>
                <w:b/>
                <w:bCs/>
                <w:color w:val="FFFFFF"/>
                <w:sz w:val="20"/>
                <w:szCs w:val="20"/>
              </w:rPr>
              <w:t xml:space="preserve">時期</w:t>
            </w:r>
          </w:p>
        </w:tc>
        <w:tc>
          <w:tcPr>
            <w:tcW w:type="dxa" w:w="2400"/>
            <w:shd w:fill="2E6B7E" w:val="clear"/>
            <w:tcMar>
              <w:top w:type="dxa" w:w="100"/>
              <w:left w:type="dxa" w:w="120"/>
              <w:bottom w:type="dxa" w:w="100"/>
              <w:right w:type="dxa" w:w="120"/>
            </w:tcMar>
          </w:tcPr>
          <w:p>
            <w:r>
              <w:rPr>
                <w:rFonts w:ascii="游ゴシック" w:cs="游ゴシック" w:eastAsia="游ゴシック" w:hAnsi="游ゴシック"/>
                <w:b/>
                <w:bCs/>
                <w:color w:val="FFFFFF"/>
                <w:sz w:val="20"/>
                <w:szCs w:val="20"/>
              </w:rPr>
              <w:t xml:space="preserve">項目</w:t>
            </w:r>
          </w:p>
        </w:tc>
        <w:tc>
          <w:tcPr>
            <w:tcW w:type="dxa" w:w="4826"/>
            <w:shd w:fill="2E6B7E" w:val="clear"/>
            <w:tcMar>
              <w:top w:type="dxa" w:w="100"/>
              <w:left w:type="dxa" w:w="120"/>
              <w:bottom w:type="dxa" w:w="100"/>
              <w:right w:type="dxa" w:w="120"/>
            </w:tcMar>
          </w:tcPr>
          <w:p>
            <w:r>
              <w:rPr>
                <w:rFonts w:ascii="游ゴシック" w:cs="游ゴシック" w:eastAsia="游ゴシック" w:hAnsi="游ゴシック"/>
                <w:b/>
                <w:bCs/>
                <w:color w:val="FFFFFF"/>
                <w:sz w:val="20"/>
                <w:szCs w:val="20"/>
              </w:rPr>
              <w:t xml:space="preserve">内容</w:t>
            </w:r>
          </w:p>
        </w:tc>
      </w:tr>
      <w:tr>
        <w:tc>
          <w:tcPr>
            <w:tcW w:type="dxa" w:w="18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第１四半期</w:t>
            </w:r>
          </w:p>
        </w:tc>
        <w:tc>
          <w:tcPr>
            <w:tcW w:type="dxa" w:w="24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リスク調査</w:t>
            </w:r>
          </w:p>
        </w:tc>
        <w:tc>
          <w:tcPr>
            <w:tcW w:type="dxa" w:w="4826"/>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内水氾濫リスクの再整理、優先確認箇所の洗い出し</w:t>
            </w:r>
          </w:p>
        </w:tc>
      </w:tr>
      <w:tr>
        <w:tc>
          <w:tcPr>
            <w:tcW w:type="dxa" w:w="18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第２四半期</w:t>
            </w:r>
          </w:p>
        </w:tc>
        <w:tc>
          <w:tcPr>
            <w:tcW w:type="dxa" w:w="24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庁内サーベイ</w:t>
            </w:r>
          </w:p>
        </w:tc>
        <w:tc>
          <w:tcPr>
            <w:tcW w:type="dxa" w:w="4826"/>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関係部署へのヒアリング・アンケート実施</w:t>
            </w:r>
          </w:p>
        </w:tc>
      </w:tr>
      <w:tr>
        <w:tc>
          <w:tcPr>
            <w:tcW w:type="dxa" w:w="18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第３四半期</w:t>
            </w:r>
          </w:p>
        </w:tc>
        <w:tc>
          <w:tcPr>
            <w:tcW w:type="dxa" w:w="24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マニュアル素案作成</w:t>
            </w:r>
          </w:p>
        </w:tc>
        <w:tc>
          <w:tcPr>
            <w:tcW w:type="dxa" w:w="4826"/>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初動対応フロー・役割分担・参集基準の整理</w:t>
            </w:r>
          </w:p>
        </w:tc>
      </w:tr>
      <w:tr>
        <w:tc>
          <w:tcPr>
            <w:tcW w:type="dxa" w:w="18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第４四半期</w:t>
            </w:r>
          </w:p>
        </w:tc>
        <w:tc>
          <w:tcPr>
            <w:tcW w:type="dxa" w:w="2400"/>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試行・確定</w:t>
            </w:r>
          </w:p>
        </w:tc>
        <w:tc>
          <w:tcPr>
            <w:tcW w:type="dxa" w:w="4826"/>
            <w:tcMar>
              <w:top w:type="dxa" w:w="100"/>
              <w:left w:type="dxa" w:w="120"/>
              <w:bottom w:type="dxa" w:w="100"/>
              <w:right w:type="dxa" w:w="120"/>
            </w:tcMar>
          </w:tcPr>
          <w:p>
            <w:r>
              <w:rPr>
                <w:rFonts w:ascii="游ゴシック" w:cs="游ゴシック" w:eastAsia="游ゴシック" w:hAnsi="游ゴシック"/>
                <w:b w:val="false"/>
                <w:bCs w:val="false"/>
                <w:sz w:val="20"/>
                <w:szCs w:val="20"/>
              </w:rPr>
              <w:t xml:space="preserve">訓練等での試行運用を経てマニュアルを確定、全庁展開</w:t>
            </w:r>
          </w:p>
        </w:tc>
      </w:tr>
    </w:tbl>
    <w:p>
      <w:pPr>
        <w:pStyle w:val="Heading1"/>
        <w:spacing w:after="160" w:before="320"/>
      </w:pPr>
      <w:r>
        <w:rPr>
          <w:rFonts w:ascii="游ゴシック" w:cs="游ゴシック" w:eastAsia="游ゴシック" w:hAnsi="游ゴシック"/>
          <w:b/>
          <w:bCs/>
          <w:color w:val="1F4E5F"/>
          <w:sz w:val="28"/>
          <w:szCs w:val="28"/>
        </w:rPr>
        <w:t xml:space="preserve">７．実施体制・費用</w:t>
      </w:r>
    </w:p>
    <w:p>
      <w:pPr>
        <w:spacing w:after="120" w:line="300"/>
      </w:pPr>
      <w:r>
        <w:rPr>
          <w:rFonts w:ascii="游ゴシック" w:cs="游ゴシック" w:eastAsia="游ゴシック" w:hAnsi="游ゴシック"/>
          <w:sz w:val="21"/>
          <w:szCs w:val="21"/>
        </w:rPr>
        <w:t xml:space="preserve">本事業は地域活躍部 防災対策課を主管とし、関係部署（道路管理担当課、上下水道局、福祉部門等）との連携により内製で実施することを基本とする。外部委託が必要な範囲（専門的な浸水解析等）は最小限にとどめ、既存の統計データ・庁内知見（洪水ハザードマップ、内水浸水想定区域図等）を最大限活用することで費用を抑制する。</w:t>
      </w:r>
    </w:p>
    <w:p>
      <w:pPr>
        <w:spacing w:after="120" w:line="300"/>
      </w:pPr>
      <w:r>
        <w:rPr>
          <w:rFonts w:ascii="游ゴシック" w:cs="游ゴシック" w:eastAsia="游ゴシック" w:hAnsi="游ゴシック"/>
          <w:sz w:val="21"/>
          <w:szCs w:val="21"/>
        </w:rPr>
        <w:t xml:space="preserve">なお、必要に応じて国の防災・安全交付金等の活用可能性についても別途検討する。</w:t>
      </w:r>
    </w:p>
    <w:p>
      <w:pPr>
        <w:pStyle w:val="Heading1"/>
        <w:spacing w:after="160" w:before="320"/>
      </w:pPr>
      <w:r>
        <w:rPr>
          <w:rFonts w:ascii="游ゴシック" w:cs="游ゴシック" w:eastAsia="游ゴシック" w:hAnsi="游ゴシック"/>
          <w:b/>
          <w:bCs/>
          <w:color w:val="1F4E5F"/>
          <w:sz w:val="28"/>
          <w:szCs w:val="28"/>
        </w:rPr>
        <w:t xml:space="preserve">８．期待される効果</w:t>
      </w:r>
    </w:p>
    <w:p>
      <w:pPr>
        <w:pStyle w:val="ListParagraph"/>
        <w:numPr>
          <w:ilvl w:val="0"/>
          <w:numId w:val="2"/>
        </w:numPr>
        <w:spacing w:after="80" w:line="280"/>
      </w:pPr>
      <w:r>
        <w:rPr>
          <w:rFonts w:ascii="游ゴシック" w:cs="游ゴシック" w:eastAsia="游ゴシック" w:hAnsi="游ゴシック"/>
          <w:sz w:val="21"/>
          <w:szCs w:val="21"/>
        </w:rPr>
        <w:t xml:space="preserve">豪雨発生時における初動対応の迅速化・的確化</w:t>
      </w:r>
    </w:p>
    <w:p>
      <w:pPr>
        <w:pStyle w:val="ListParagraph"/>
        <w:numPr>
          <w:ilvl w:val="0"/>
          <w:numId w:val="2"/>
        </w:numPr>
        <w:spacing w:after="80" w:line="280"/>
      </w:pPr>
      <w:r>
        <w:rPr>
          <w:rFonts w:ascii="游ゴシック" w:cs="游ゴシック" w:eastAsia="游ゴシック" w:hAnsi="游ゴシック"/>
          <w:sz w:val="21"/>
          <w:szCs w:val="21"/>
        </w:rPr>
        <w:t xml:space="preserve">対応の属人化解消による組織的なリスク管理体制の構築</w:t>
      </w:r>
    </w:p>
    <w:p>
      <w:pPr>
        <w:pStyle w:val="ListParagraph"/>
        <w:numPr>
          <w:ilvl w:val="0"/>
          <w:numId w:val="2"/>
        </w:numPr>
        <w:spacing w:after="80" w:line="280"/>
      </w:pPr>
      <w:r>
        <w:rPr>
          <w:rFonts w:ascii="游ゴシック" w:cs="游ゴシック" w:eastAsia="游ゴシック" w:hAnsi="游ゴシック"/>
          <w:sz w:val="21"/>
          <w:szCs w:val="21"/>
        </w:rPr>
        <w:t xml:space="preserve">部署間の情報共有の円滑化による意思決定の迅速化</w:t>
      </w:r>
    </w:p>
    <w:p>
      <w:pPr>
        <w:pStyle w:val="ListParagraph"/>
        <w:numPr>
          <w:ilvl w:val="0"/>
          <w:numId w:val="2"/>
        </w:numPr>
        <w:spacing w:after="80" w:line="280"/>
      </w:pPr>
      <w:r>
        <w:rPr>
          <w:rFonts w:ascii="游ゴシック" w:cs="游ゴシック" w:eastAsia="游ゴシック" w:hAnsi="游ゴシック"/>
          <w:sz w:val="21"/>
          <w:szCs w:val="21"/>
        </w:rPr>
        <w:t xml:space="preserve">住民への情報提供・避難対応等の質の向上</w:t>
      </w:r>
    </w:p>
    <w:p>
      <w:pPr>
        <w:pStyle w:val="Heading1"/>
        <w:spacing w:after="160" w:before="320"/>
      </w:pPr>
      <w:r>
        <w:rPr>
          <w:rFonts w:ascii="游ゴシック" w:cs="游ゴシック" w:eastAsia="游ゴシック" w:hAnsi="游ゴシック"/>
          <w:b/>
          <w:bCs/>
          <w:color w:val="1F4E5F"/>
          <w:sz w:val="28"/>
          <w:szCs w:val="28"/>
        </w:rPr>
        <w:t xml:space="preserve">９．結び</w:t>
      </w:r>
    </w:p>
    <w:p>
      <w:pPr>
        <w:spacing w:after="120" w:line="300"/>
      </w:pPr>
      <w:r>
        <w:rPr>
          <w:rFonts w:ascii="游ゴシック" w:cs="游ゴシック" w:eastAsia="游ゴシック" w:hAnsi="游ゴシック"/>
          <w:sz w:val="21"/>
          <w:szCs w:val="21"/>
        </w:rPr>
        <w:t xml:space="preserve">以上のとおり、堤防決壊等を伴う大規模な河川氾濫への対応ではなく、近年増加が明らかな短時間強雨・記録的短時間大雨に起因する内水氾濫に的を絞り、水災リスクの把握・庁内サーベイ・対応マニュアルの整備を一体的に進めることで、庁内の対応力を強化したい。ついては、本事業の実施について御決裁を賜りたく、御高配のほどよろしくお願い申し上げ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2026-09-17T03:27:02.756Z</dcterms:created>
  <dcterms:modified xsi:type="dcterms:W3CDTF">2026-09-17T03:27:02.756Z</dcterms:modified>
</cp:coreProperties>
</file>

<file path=docProps/custom.xml><?xml version="1.0" encoding="utf-8"?>
<Properties xmlns="http://schemas.openxmlformats.org/officeDocument/2006/custom-properties" xmlns:vt="http://schemas.openxmlformats.org/officeDocument/2006/docPropsVTypes"/>
</file>