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游ゴシック" w:cs="游ゴシック" w:eastAsia="游ゴシック" w:hAnsi="游ゴシック"/>
          <w:sz w:val="20"/>
          <w:szCs w:val="20"/>
        </w:rPr>
        <w:t xml:space="preserve">令和8年　　月　　日</w:t>
      </w:r>
    </w:p>
    <w:p>
      <w:pPr>
        <w:spacing w:after="60"/>
        <w:jc w:val="center"/>
      </w:pPr>
      <w:r>
        <w:rPr>
          <w:rFonts w:ascii="游ゴシック" w:cs="游ゴシック" w:eastAsia="游ゴシック" w:hAnsi="游ゴシック"/>
          <w:color w:val="666666"/>
          <w:sz w:val="18"/>
          <w:szCs w:val="18"/>
        </w:rPr>
        <w:t xml:space="preserve">起案文書</w:t>
      </w:r>
    </w:p>
    <w:p>
      <w:pPr>
        <w:spacing w:after="300"/>
        <w:jc w:val="center"/>
      </w:pPr>
      <w:r>
        <w:rPr>
          <w:rFonts w:ascii="游ゴシック" w:cs="游ゴシック" w:eastAsia="游ゴシック" w:hAnsi="游ゴシック"/>
          <w:b/>
          <w:bCs/>
          <w:sz w:val="30"/>
          <w:szCs w:val="30"/>
        </w:rPr>
        <w:t xml:space="preserve">近年の局地的短時間強雨（ゲリラ豪雨）に対応した
水災リスク把握・対応マニュアル整備事業について（案）</w:t>
      </w:r>
    </w:p>
    <w:p>
      <w:pPr>
        <w:pStyle w:val="Heading1"/>
        <w:spacing w:after="160" w:before="320"/>
      </w:pPr>
      <w:r>
        <w:rPr>
          <w:rFonts w:ascii="游ゴシック" w:cs="游ゴシック" w:eastAsia="游ゴシック" w:hAnsi="游ゴシック"/>
          <w:b/>
          <w:bCs/>
          <w:color w:val="1F4E5F"/>
          <w:sz w:val="28"/>
          <w:szCs w:val="28"/>
        </w:rPr>
        <w:t xml:space="preserve">１．趣旨・背景</w:t>
      </w:r>
    </w:p>
    <w:p>
      <w:pPr>
        <w:spacing w:after="120" w:line="300"/>
      </w:pPr>
      <w:r>
        <w:rPr>
          <w:rFonts w:ascii="游ゴシック" w:cs="游ゴシック" w:eastAsia="游ゴシック" w:hAnsi="游ゴシック"/>
          <w:sz w:val="21"/>
          <w:szCs w:val="21"/>
        </w:rPr>
        <w:t xml:space="preserve">近年、線状降水帯や局地的短時間強雨（いわゆる「ゲリラ豪雨」）の発生頻度が全国的に増加しており、従来の外水氾濫を前提としたハザードマップだけでは対応しきれない「内水氾濫」型の浸水被害が各地で顕在化している。</w:t>
      </w:r>
    </w:p>
    <w:p>
      <w:pPr>
        <w:spacing w:after="120" w:line="300"/>
      </w:pPr>
      <w:r>
        <w:rPr>
          <w:rFonts w:ascii="游ゴシック" w:cs="游ゴシック" w:eastAsia="游ゴシック" w:hAnsi="游ゴシック"/>
          <w:sz w:val="21"/>
          <w:szCs w:val="21"/>
        </w:rPr>
        <w:t xml:space="preserve">本市においても、短時間の集中的な降雨により道路冠水や地下空間への浸水等が発生する事案が確認されており、庁内における初動対応や情報共有の在り方が今後の課題となっている。</w:t>
      </w:r>
    </w:p>
    <w:p>
      <w:pPr>
        <w:spacing w:after="120" w:line="300"/>
      </w:pPr>
      <w:r>
        <w:rPr>
          <w:rFonts w:ascii="游ゴシック" w:cs="游ゴシック" w:eastAsia="游ゴシック" w:hAnsi="游ゴシック"/>
          <w:sz w:val="21"/>
          <w:szCs w:val="21"/>
        </w:rPr>
        <w:t xml:space="preserve">ついては、水災リスクの実態を改めて把握するとともに、庁内の対応体制を明文化したマニュアルを整備することで、有事における迅速かつ的確な初動対応を可能とする体制を構築したい。</w:t>
      </w:r>
    </w:p>
    <w:p>
      <w:pPr>
        <w:pStyle w:val="Heading1"/>
        <w:spacing w:after="160" w:before="320"/>
      </w:pPr>
      <w:r>
        <w:rPr>
          <w:rFonts w:ascii="游ゴシック" w:cs="游ゴシック" w:eastAsia="游ゴシック" w:hAnsi="游ゴシック"/>
          <w:b/>
          <w:bCs/>
          <w:color w:val="1F4E5F"/>
          <w:sz w:val="28"/>
          <w:szCs w:val="28"/>
        </w:rPr>
        <w:t xml:space="preserve">２．現状の課題</w:t>
      </w:r>
    </w:p>
    <w:p>
      <w:pPr>
        <w:pStyle w:val="ListParagraph"/>
        <w:numPr>
          <w:ilvl w:val="0"/>
          <w:numId w:val="2"/>
        </w:numPr>
        <w:spacing w:after="80" w:line="280"/>
      </w:pPr>
      <w:r>
        <w:rPr>
          <w:rFonts w:ascii="游ゴシック" w:cs="游ゴシック" w:eastAsia="游ゴシック" w:hAnsi="游ゴシック"/>
          <w:sz w:val="21"/>
          <w:szCs w:val="21"/>
        </w:rPr>
        <w:t xml:space="preserve">内水氾濫（短時間強雨）を前提としたリスク情報が体系的に整理されていない</w:t>
      </w:r>
    </w:p>
    <w:p>
      <w:pPr>
        <w:pStyle w:val="ListParagraph"/>
        <w:numPr>
          <w:ilvl w:val="0"/>
          <w:numId w:val="2"/>
        </w:numPr>
        <w:spacing w:after="80" w:line="280"/>
      </w:pPr>
      <w:r>
        <w:rPr>
          <w:rFonts w:ascii="游ゴシック" w:cs="游ゴシック" w:eastAsia="游ゴシック" w:hAnsi="游ゴシック"/>
          <w:sz w:val="21"/>
          <w:szCs w:val="21"/>
        </w:rPr>
        <w:t xml:space="preserve">要配慮者施設・地下施設等、優先的に確認すべき箇所の洗い出しが未実施</w:t>
      </w:r>
    </w:p>
    <w:p>
      <w:pPr>
        <w:pStyle w:val="ListParagraph"/>
        <w:numPr>
          <w:ilvl w:val="0"/>
          <w:numId w:val="2"/>
        </w:numPr>
        <w:spacing w:after="80" w:line="280"/>
      </w:pPr>
      <w:r>
        <w:rPr>
          <w:rFonts w:ascii="游ゴシック" w:cs="游ゴシック" w:eastAsia="游ゴシック" w:hAnsi="游ゴシック"/>
          <w:sz w:val="21"/>
          <w:szCs w:val="21"/>
        </w:rPr>
        <w:t xml:space="preserve">豪雨発生時の参集基準・部署別役割分担が明文化されておらず、対応が属人化している</w:t>
      </w:r>
    </w:p>
    <w:p>
      <w:pPr>
        <w:pStyle w:val="ListParagraph"/>
        <w:numPr>
          <w:ilvl w:val="0"/>
          <w:numId w:val="2"/>
        </w:numPr>
        <w:spacing w:after="80" w:line="280"/>
      </w:pPr>
      <w:r>
        <w:rPr>
          <w:rFonts w:ascii="游ゴシック" w:cs="游ゴシック" w:eastAsia="游ゴシック" w:hAnsi="游ゴシック"/>
          <w:sz w:val="21"/>
          <w:szCs w:val="21"/>
        </w:rPr>
        <w:t xml:space="preserve">部署間の情報共有ルートが確立されておらず、初動の意思決定に時間を要する構造的な課題がある</w:t>
      </w:r>
    </w:p>
    <w:p>
      <w:pPr>
        <w:spacing w:after="120" w:line="300"/>
      </w:pPr>
      <w:r>
        <w:rPr>
          <w:rFonts w:ascii="游ゴシック" w:cs="游ゴシック" w:eastAsia="游ゴシック" w:hAnsi="游ゴシック"/>
          <w:i w:val="false"/>
          <w:iCs w:val="false"/>
          <w:sz w:val="21"/>
          <w:szCs w:val="21"/>
        </w:rPr>
        <w:t xml:space="preserve">これらの課題を放置した場合、大規模な内水氾濫が発生した際に、対応の遅れや部署間の連携不足により被害が拡大するおそれがある。</w:t>
      </w:r>
    </w:p>
    <w:p>
      <w:pPr>
        <w:pStyle w:val="Heading1"/>
        <w:spacing w:after="160" w:before="320"/>
      </w:pPr>
      <w:r>
        <w:rPr>
          <w:rFonts w:ascii="游ゴシック" w:cs="游ゴシック" w:eastAsia="游ゴシック" w:hAnsi="游ゴシック"/>
          <w:b/>
          <w:bCs/>
          <w:color w:val="1F4E5F"/>
          <w:sz w:val="28"/>
          <w:szCs w:val="28"/>
        </w:rPr>
        <w:t xml:space="preserve">３．提案内容</w:t>
      </w:r>
    </w:p>
    <w:p>
      <w:pPr>
        <w:spacing w:after="120" w:line="300"/>
      </w:pPr>
      <w:r>
        <w:rPr>
          <w:rFonts w:ascii="游ゴシック" w:cs="游ゴシック" w:eastAsia="游ゴシック" w:hAnsi="游ゴシック"/>
          <w:sz w:val="21"/>
          <w:szCs w:val="21"/>
        </w:rPr>
        <w:t xml:space="preserve">本事業では、以下の３本柱で取り組みを進める。</w:t>
      </w:r>
    </w:p>
    <w:p>
      <w:pPr>
        <w:pStyle w:val="Heading2"/>
        <w:spacing w:after="120" w:before="240"/>
      </w:pPr>
      <w:r>
        <w:rPr>
          <w:rFonts w:ascii="游ゴシック" w:cs="游ゴシック" w:eastAsia="游ゴシック" w:hAnsi="游ゴシック"/>
          <w:b/>
          <w:bCs/>
          <w:color w:val="2E6B7E"/>
          <w:sz w:val="24"/>
          <w:szCs w:val="24"/>
        </w:rPr>
        <w:t xml:space="preserve">（１）水災リスクの把握</w:t>
      </w:r>
    </w:p>
    <w:p>
      <w:pPr>
        <w:pStyle w:val="ListParagraph"/>
        <w:numPr>
          <w:ilvl w:val="0"/>
          <w:numId w:val="2"/>
        </w:numPr>
        <w:spacing w:after="80" w:line="280"/>
      </w:pPr>
      <w:r>
        <w:rPr>
          <w:rFonts w:ascii="游ゴシック" w:cs="游ゴシック" w:eastAsia="游ゴシック" w:hAnsi="游ゴシック"/>
          <w:sz w:val="21"/>
          <w:szCs w:val="21"/>
        </w:rPr>
        <w:t xml:space="preserve">内水氾濫想定区域の再調査・整理（既存ハザードマップの補完）</w:t>
      </w:r>
    </w:p>
    <w:p>
      <w:pPr>
        <w:pStyle w:val="ListParagraph"/>
        <w:numPr>
          <w:ilvl w:val="0"/>
          <w:numId w:val="2"/>
        </w:numPr>
        <w:spacing w:after="80" w:line="280"/>
      </w:pPr>
      <w:r>
        <w:rPr>
          <w:rFonts w:ascii="游ゴシック" w:cs="游ゴシック" w:eastAsia="游ゴシック" w:hAnsi="游ゴシック"/>
          <w:sz w:val="21"/>
          <w:szCs w:val="21"/>
        </w:rPr>
        <w:t xml:space="preserve">要配慮者施設・地下施設・低地部等、優先確認箇所のリスト化</w:t>
      </w:r>
    </w:p>
    <w:p>
      <w:pPr>
        <w:pStyle w:val="ListParagraph"/>
        <w:numPr>
          <w:ilvl w:val="0"/>
          <w:numId w:val="2"/>
        </w:numPr>
        <w:spacing w:after="80" w:line="280"/>
      </w:pPr>
      <w:r>
        <w:rPr>
          <w:rFonts w:ascii="游ゴシック" w:cs="游ゴシック" w:eastAsia="游ゴシック" w:hAnsi="游ゴシック"/>
          <w:sz w:val="21"/>
          <w:szCs w:val="21"/>
        </w:rPr>
        <w:t xml:space="preserve">過去の浸水被害履歴・ヒヤリハット事例の収集整理</w:t>
      </w:r>
    </w:p>
    <w:p>
      <w:pPr>
        <w:pStyle w:val="Heading2"/>
        <w:spacing w:after="120" w:before="240"/>
      </w:pPr>
      <w:r>
        <w:rPr>
          <w:rFonts w:ascii="游ゴシック" w:cs="游ゴシック" w:eastAsia="游ゴシック" w:hAnsi="游ゴシック"/>
          <w:b/>
          <w:bCs/>
          <w:color w:val="2E6B7E"/>
          <w:sz w:val="24"/>
          <w:szCs w:val="24"/>
        </w:rPr>
        <w:t xml:space="preserve">（２）庁内サーベイの実施</w:t>
      </w:r>
    </w:p>
    <w:p>
      <w:pPr>
        <w:pStyle w:val="ListParagraph"/>
        <w:numPr>
          <w:ilvl w:val="0"/>
          <w:numId w:val="2"/>
        </w:numPr>
        <w:spacing w:after="80" w:line="280"/>
      </w:pPr>
      <w:r>
        <w:rPr>
          <w:rFonts w:ascii="游ゴシック" w:cs="游ゴシック" w:eastAsia="游ゴシック" w:hAnsi="游ゴシック"/>
          <w:sz w:val="21"/>
          <w:szCs w:val="21"/>
        </w:rPr>
        <w:t xml:space="preserve">関係部署（防災危機管理課、道路河川課、下水道課、福祉部門等）への聞き取り調査</w:t>
      </w:r>
    </w:p>
    <w:p>
      <w:pPr>
        <w:pStyle w:val="ListParagraph"/>
        <w:numPr>
          <w:ilvl w:val="0"/>
          <w:numId w:val="2"/>
        </w:numPr>
        <w:spacing w:after="80" w:line="280"/>
      </w:pPr>
      <w:r>
        <w:rPr>
          <w:rFonts w:ascii="游ゴシック" w:cs="游ゴシック" w:eastAsia="游ゴシック" w:hAnsi="游ゴシック"/>
          <w:sz w:val="21"/>
          <w:szCs w:val="21"/>
        </w:rPr>
        <w:t xml:space="preserve">過去の豪雨対応時における課題・困りごとの洗い出し</w:t>
      </w:r>
    </w:p>
    <w:p>
      <w:pPr>
        <w:pStyle w:val="ListParagraph"/>
        <w:numPr>
          <w:ilvl w:val="0"/>
          <w:numId w:val="2"/>
        </w:numPr>
        <w:spacing w:after="80" w:line="280"/>
      </w:pPr>
      <w:r>
        <w:rPr>
          <w:rFonts w:ascii="游ゴシック" w:cs="游ゴシック" w:eastAsia="游ゴシック" w:hAnsi="游ゴシック"/>
          <w:sz w:val="21"/>
          <w:szCs w:val="21"/>
        </w:rPr>
        <w:t xml:space="preserve">現場職員の対応実態に関するアンケート調査</w:t>
      </w:r>
    </w:p>
    <w:p>
      <w:pPr>
        <w:pStyle w:val="Heading2"/>
        <w:spacing w:after="120" w:before="240"/>
      </w:pPr>
      <w:r>
        <w:rPr>
          <w:rFonts w:ascii="游ゴシック" w:cs="游ゴシック" w:eastAsia="游ゴシック" w:hAnsi="游ゴシック"/>
          <w:b/>
          <w:bCs/>
          <w:color w:val="2E6B7E"/>
          <w:sz w:val="24"/>
          <w:szCs w:val="24"/>
        </w:rPr>
        <w:t xml:space="preserve">（３）対応マニュアルの作成</w:t>
      </w:r>
    </w:p>
    <w:p>
      <w:pPr>
        <w:pStyle w:val="ListParagraph"/>
        <w:numPr>
          <w:ilvl w:val="0"/>
          <w:numId w:val="2"/>
        </w:numPr>
        <w:spacing w:after="80" w:line="280"/>
      </w:pPr>
      <w:r>
        <w:rPr>
          <w:rFonts w:ascii="游ゴシック" w:cs="游ゴシック" w:eastAsia="游ゴシック" w:hAnsi="游ゴシック"/>
          <w:sz w:val="21"/>
          <w:szCs w:val="21"/>
        </w:rPr>
        <w:t xml:space="preserve">豪雨発生時の初動対応フロー（警戒レベル別）の整理</w:t>
      </w:r>
    </w:p>
    <w:p>
      <w:pPr>
        <w:pStyle w:val="ListParagraph"/>
        <w:numPr>
          <w:ilvl w:val="0"/>
          <w:numId w:val="2"/>
        </w:numPr>
        <w:spacing w:after="80" w:line="280"/>
      </w:pPr>
      <w:r>
        <w:rPr>
          <w:rFonts w:ascii="游ゴシック" w:cs="游ゴシック" w:eastAsia="游ゴシック" w:hAnsi="游ゴシック"/>
          <w:sz w:val="21"/>
          <w:szCs w:val="21"/>
        </w:rPr>
        <w:t xml:space="preserve">参集基準・非常配備体制の明文化</w:t>
      </w:r>
    </w:p>
    <w:p>
      <w:pPr>
        <w:pStyle w:val="ListParagraph"/>
        <w:numPr>
          <w:ilvl w:val="0"/>
          <w:numId w:val="2"/>
        </w:numPr>
        <w:spacing w:after="80" w:line="280"/>
      </w:pPr>
      <w:r>
        <w:rPr>
          <w:rFonts w:ascii="游ゴシック" w:cs="游ゴシック" w:eastAsia="游ゴシック" w:hAnsi="游ゴシック"/>
          <w:sz w:val="21"/>
          <w:szCs w:val="21"/>
        </w:rPr>
        <w:t xml:space="preserve">部署別の役割分担・情報共有ルートの明確化</w:t>
      </w:r>
    </w:p>
    <w:p>
      <w:pPr>
        <w:pStyle w:val="ListParagraph"/>
        <w:numPr>
          <w:ilvl w:val="0"/>
          <w:numId w:val="2"/>
        </w:numPr>
        <w:spacing w:after="80" w:line="280"/>
      </w:pPr>
      <w:r>
        <w:rPr>
          <w:rFonts w:ascii="游ゴシック" w:cs="游ゴシック" w:eastAsia="游ゴシック" w:hAnsi="游ゴシック"/>
          <w:sz w:val="21"/>
          <w:szCs w:val="21"/>
        </w:rPr>
        <w:t xml:space="preserve">試行運用を経たマニュアルの確定・全庁展開</w:t>
      </w:r>
    </w:p>
    <w:p>
      <w:pPr>
        <w:pStyle w:val="Heading1"/>
        <w:spacing w:after="160" w:before="320"/>
      </w:pPr>
      <w:r>
        <w:rPr>
          <w:rFonts w:ascii="游ゴシック" w:cs="游ゴシック" w:eastAsia="游ゴシック" w:hAnsi="游ゴシック"/>
          <w:b/>
          <w:bCs/>
          <w:color w:val="1F4E5F"/>
          <w:sz w:val="28"/>
          <w:szCs w:val="28"/>
        </w:rPr>
        <w:t xml:space="preserve">４．実施スケジュール（単年度事業）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時期</w:t>
            </w:r>
          </w:p>
        </w:tc>
        <w:tc>
          <w:tcPr>
            <w:tcW w:type="dxa" w:w="2400"/>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項目</w:t>
            </w:r>
          </w:p>
        </w:tc>
        <w:tc>
          <w:tcPr>
            <w:tcW w:type="dxa" w:w="4826"/>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内容</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第１四半期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リスク調査</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内水氾濫リスクの再整理、優先確認箇所の洗い出し</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第２四半期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庁内サーベイ</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関係部署へのヒアリング・アンケート実施</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第３四半期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マニュアル素案作成</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初動対応フロー・役割分担・参集基準の整理</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第４四半期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試行・確定</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訓練等での試行運用を経てマニュアルを確定、全庁展開</w:t>
            </w:r>
          </w:p>
        </w:tc>
      </w:tr>
    </w:tbl>
    <w:p>
      <w:pPr>
        <w:pStyle w:val="Heading1"/>
        <w:spacing w:after="160" w:before="320"/>
      </w:pPr>
      <w:r>
        <w:rPr>
          <w:rFonts w:ascii="游ゴシック" w:cs="游ゴシック" w:eastAsia="游ゴシック" w:hAnsi="游ゴシック"/>
          <w:b/>
          <w:bCs/>
          <w:color w:val="1F4E5F"/>
          <w:sz w:val="28"/>
          <w:szCs w:val="28"/>
        </w:rPr>
        <w:t xml:space="preserve">５．実施体制・費用</w:t>
      </w:r>
    </w:p>
    <w:p>
      <w:pPr>
        <w:spacing w:after="120" w:line="300"/>
      </w:pPr>
      <w:r>
        <w:rPr>
          <w:rFonts w:ascii="游ゴシック" w:cs="游ゴシック" w:eastAsia="游ゴシック" w:hAnsi="游ゴシック"/>
          <w:sz w:val="21"/>
          <w:szCs w:val="21"/>
        </w:rPr>
        <w:t xml:space="preserve">本事業は防災危機管理課を主管とし、関係部署との連携により内製で実施することを基本とする。外部委託が必要な範囲（専門的な浸水解析等）は最小限にとどめ、既存の統計データ・庁内知見を最大限活用することで費用を抑制する。</w:t>
      </w:r>
    </w:p>
    <w:p>
      <w:pPr>
        <w:spacing w:after="120" w:line="300"/>
      </w:pPr>
      <w:r>
        <w:rPr>
          <w:rFonts w:ascii="游ゴシック" w:cs="游ゴシック" w:eastAsia="游ゴシック" w:hAnsi="游ゴシック"/>
          <w:sz w:val="21"/>
          <w:szCs w:val="21"/>
        </w:rPr>
        <w:t xml:space="preserve">なお、必要に応じて国の防災・安全交付金等の活用可能性についても別途検討する。</w:t>
      </w:r>
    </w:p>
    <w:p>
      <w:pPr>
        <w:pStyle w:val="Heading1"/>
        <w:spacing w:after="160" w:before="320"/>
      </w:pPr>
      <w:r>
        <w:rPr>
          <w:rFonts w:ascii="游ゴシック" w:cs="游ゴシック" w:eastAsia="游ゴシック" w:hAnsi="游ゴシック"/>
          <w:b/>
          <w:bCs/>
          <w:color w:val="1F4E5F"/>
          <w:sz w:val="28"/>
          <w:szCs w:val="28"/>
        </w:rPr>
        <w:t xml:space="preserve">６．期待される効果</w:t>
      </w:r>
    </w:p>
    <w:p>
      <w:pPr>
        <w:pStyle w:val="ListParagraph"/>
        <w:numPr>
          <w:ilvl w:val="0"/>
          <w:numId w:val="2"/>
        </w:numPr>
        <w:spacing w:after="80" w:line="280"/>
      </w:pPr>
      <w:r>
        <w:rPr>
          <w:rFonts w:ascii="游ゴシック" w:cs="游ゴシック" w:eastAsia="游ゴシック" w:hAnsi="游ゴシック"/>
          <w:sz w:val="21"/>
          <w:szCs w:val="21"/>
        </w:rPr>
        <w:t xml:space="preserve">豪雨発生時における初動対応の迅速化・的確化</w:t>
      </w:r>
    </w:p>
    <w:p>
      <w:pPr>
        <w:pStyle w:val="ListParagraph"/>
        <w:numPr>
          <w:ilvl w:val="0"/>
          <w:numId w:val="2"/>
        </w:numPr>
        <w:spacing w:after="80" w:line="280"/>
      </w:pPr>
      <w:r>
        <w:rPr>
          <w:rFonts w:ascii="游ゴシック" w:cs="游ゴシック" w:eastAsia="游ゴシック" w:hAnsi="游ゴシック"/>
          <w:sz w:val="21"/>
          <w:szCs w:val="21"/>
        </w:rPr>
        <w:t xml:space="preserve">対応の属人化解消による組織的なリスク管理体制の構築</w:t>
      </w:r>
    </w:p>
    <w:p>
      <w:pPr>
        <w:pStyle w:val="ListParagraph"/>
        <w:numPr>
          <w:ilvl w:val="0"/>
          <w:numId w:val="2"/>
        </w:numPr>
        <w:spacing w:after="80" w:line="280"/>
      </w:pPr>
      <w:r>
        <w:rPr>
          <w:rFonts w:ascii="游ゴシック" w:cs="游ゴシック" w:eastAsia="游ゴシック" w:hAnsi="游ゴシック"/>
          <w:sz w:val="21"/>
          <w:szCs w:val="21"/>
        </w:rPr>
        <w:t xml:space="preserve">部署間の情報共有の円滑化による意思決定の迅速化</w:t>
      </w:r>
    </w:p>
    <w:p>
      <w:pPr>
        <w:pStyle w:val="ListParagraph"/>
        <w:numPr>
          <w:ilvl w:val="0"/>
          <w:numId w:val="2"/>
        </w:numPr>
        <w:spacing w:after="80" w:line="280"/>
      </w:pPr>
      <w:r>
        <w:rPr>
          <w:rFonts w:ascii="游ゴシック" w:cs="游ゴシック" w:eastAsia="游ゴシック" w:hAnsi="游ゴシック"/>
          <w:sz w:val="21"/>
          <w:szCs w:val="21"/>
        </w:rPr>
        <w:t xml:space="preserve">住民への情報提供・避難対応等の質の向上</w:t>
      </w:r>
    </w:p>
    <w:p>
      <w:pPr>
        <w:pStyle w:val="Heading1"/>
        <w:spacing w:after="160" w:before="320"/>
      </w:pPr>
      <w:r>
        <w:rPr>
          <w:rFonts w:ascii="游ゴシック" w:cs="游ゴシック" w:eastAsia="游ゴシック" w:hAnsi="游ゴシック"/>
          <w:b/>
          <w:bCs/>
          <w:color w:val="1F4E5F"/>
          <w:sz w:val="28"/>
          <w:szCs w:val="28"/>
        </w:rPr>
        <w:t xml:space="preserve">７．結び</w:t>
      </w:r>
    </w:p>
    <w:p>
      <w:pPr>
        <w:spacing w:after="120" w:line="300"/>
      </w:pPr>
      <w:r>
        <w:rPr>
          <w:rFonts w:ascii="游ゴシック" w:cs="游ゴシック" w:eastAsia="游ゴシック" w:hAnsi="游ゴシック"/>
          <w:sz w:val="21"/>
          <w:szCs w:val="21"/>
        </w:rPr>
        <w:t xml:space="preserve">以上のとおり、水災リスクの把握・庁内サーベイ・対応マニュアルの整備を一体的に進めることで、近年増加する短時間強雨に対する庁内の対応力を強化したい。ついては、本事業の実施について御決裁を賜りたく、御高配のほどよろしくお願い申し上げ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2026-09-14T10:32:01.011Z</dcterms:created>
  <dcterms:modified xsi:type="dcterms:W3CDTF">2026-09-14T10:32:01.025Z</dcterms:modified>
</cp:coreProperties>
</file>

<file path=docProps/custom.xml><?xml version="1.0" encoding="utf-8"?>
<Properties xmlns="http://schemas.openxmlformats.org/officeDocument/2006/custom-properties" xmlns:vt="http://schemas.openxmlformats.org/officeDocument/2006/docPropsVTypes"/>
</file>