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E3A8A"/>
          <w:sz w:val="40"/>
        </w:rPr>
        <w:t>[2023년 자활사업 우수사례집]</w:t>
        <w:br/>
        <w:t>2023년_자활사업_우수사례집_희망을_만드는_사람들</w:t>
      </w:r>
    </w:p>
    <w:p>
      <w:pPr>
        <w:jc w:val="center"/>
      </w:pPr>
      <w:r>
        <w:rPr>
          <w:rFonts w:ascii="맑은 고딕" w:hAnsi="맑은 고딕"/>
          <w:color w:val="64748B"/>
          <w:sz w:val="24"/>
        </w:rPr>
        <w:t>2023년 전국 지역자활센터 분야별 우수 혁신 사례 모음집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구분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사업단 / 기업명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주요 사업 분야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핵심 자립 성과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사례 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카페드림 청년자활사업단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청년 자립 및 외식·음료 서비스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청년 참여자 4인 바리스타 1급 취득 및 자활기업 창업 분리 성공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사례 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클린케어 친환경 방역소독사업단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환경·위생 및 시장진입형 사업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조달청 다수공급자계약(MAS) 등록 및 취약계층 방역 바우처 100가구 지원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사례 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초록마을 스마트 도시농업사업단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도시농업 및 친환경 먹거리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스마트팜 수경재배 엽채류 로컬푸드 직매장 납품 및 참여자 자존감 35% 향상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D4ED8"/>
          <w:sz w:val="28"/>
        </w:rPr>
        <w:t>■ 우수사례 1: 카페드림 청년자활사업단 (청년 자립 및 외식·음료 서비스)</w:t>
      </w:r>
    </w:p>
    <w:p>
      <w:pPr>
        <w:pStyle w:val="Heading2"/>
      </w:pPr>
      <w:r>
        <w:rPr>
          <w:rFonts w:ascii="맑은 고딕" w:hAnsi="맑은 고딕"/>
        </w:rPr>
        <w:t>1. 추진 배경 및 참여자 특성</w:t>
      </w:r>
    </w:p>
    <w:p>
      <w:pPr>
        <w:spacing w:after="60"/>
      </w:pPr>
      <w:r>
        <w:rPr>
          <w:rFonts w:ascii="맑은 고딕" w:hAnsi="맑은 고딕"/>
          <w:sz w:val="21"/>
        </w:rPr>
        <w:t>- 대상: 20~30대 고립·은둔 청년 및 조건부 수급 청년 6명</w:t>
      </w:r>
    </w:p>
    <w:p>
      <w:pPr>
        <w:spacing w:after="60"/>
      </w:pPr>
      <w:r>
        <w:rPr>
          <w:rFonts w:ascii="맑은 고딕" w:hAnsi="맑은 고딕"/>
          <w:sz w:val="21"/>
        </w:rPr>
        <w:t>- 문제점: 장기 대인기피 및 실패 경험으로 인한 자신감 결여, 진로 불투명</w:t>
      </w:r>
    </w:p>
    <w:p>
      <w:pPr>
        <w:pStyle w:val="Heading2"/>
      </w:pPr>
      <w:r>
        <w:rPr>
          <w:rFonts w:ascii="맑은 고딕" w:hAnsi="맑은 고딕"/>
        </w:rPr>
        <w:t>2. 맞춤형 자립 지원 및 동기부여 프로그램</w:t>
      </w:r>
    </w:p>
    <w:p>
      <w:pPr>
        <w:spacing w:after="60"/>
      </w:pPr>
      <w:r>
        <w:rPr>
          <w:rFonts w:ascii="맑은 고딕" w:hAnsi="맑은 고딕"/>
          <w:sz w:val="21"/>
        </w:rPr>
        <w:t>- 1단계: 1:1 심리상담 및 아로마 테라피를 통한 정서적 안정화</w:t>
      </w:r>
    </w:p>
    <w:p>
      <w:pPr>
        <w:spacing w:after="60"/>
      </w:pPr>
      <w:r>
        <w:rPr>
          <w:rFonts w:ascii="맑은 고딕" w:hAnsi="맑은 고딕"/>
          <w:sz w:val="21"/>
        </w:rPr>
        <w:t>- 2단계: 전문 바리스타 및 로스팅 기술 교육(주 10시간 실습)</w:t>
      </w:r>
    </w:p>
    <w:p>
      <w:pPr>
        <w:spacing w:after="60"/>
      </w:pPr>
      <w:r>
        <w:rPr>
          <w:rFonts w:ascii="맑은 고딕" w:hAnsi="맑은 고딕"/>
          <w:sz w:val="21"/>
        </w:rPr>
        <w:t>- 3단계: 관내 공공도서관 내 위탁 매장 실전 운영 및 고객 응대 훈련</w:t>
      </w:r>
    </w:p>
    <w:p>
      <w:pPr>
        <w:pStyle w:val="Heading2"/>
      </w:pPr>
      <w:r>
        <w:rPr>
          <w:rFonts w:ascii="맑은 고딕" w:hAnsi="맑은 고딕"/>
        </w:rPr>
        <w:t>3. 주요 정량·정성 성과 및 성공 요인</w:t>
      </w:r>
    </w:p>
    <w:p>
      <w:pPr>
        <w:spacing w:after="60"/>
      </w:pPr>
      <w:r>
        <w:rPr>
          <w:rFonts w:ascii="맑은 고딕" w:hAnsi="맑은 고딕"/>
          <w:sz w:val="21"/>
        </w:rPr>
        <w:t>- 정량 성과: 연매출 7,800만 원 달성, 참여자 4인 전원 바리스타 자격증 취득</w:t>
      </w:r>
    </w:p>
    <w:p>
      <w:pPr>
        <w:spacing w:after="60"/>
      </w:pPr>
      <w:r>
        <w:rPr>
          <w:rFonts w:ascii="맑은 고딕" w:hAnsi="맑은 고딕"/>
          <w:sz w:val="21"/>
        </w:rPr>
        <w:t>- 정성 성과: 참여 청년 4명이 공동 출자하여 사회적협동조합 자활기업 독립 창업</w:t>
      </w:r>
    </w:p>
    <w:p/>
    <w:p>
      <w:pPr>
        <w:pStyle w:val="Heading1"/>
      </w:pPr>
      <w:r>
        <w:rPr>
          <w:rFonts w:ascii="맑은 고딕" w:hAnsi="맑은 고딕"/>
          <w:b/>
          <w:color w:val="1D4ED8"/>
          <w:sz w:val="28"/>
        </w:rPr>
        <w:t>■ 우수사례 2: 클린케어 친환경 방역소독사업단 (환경·위생 및 시장진입형 사업)</w:t>
      </w:r>
    </w:p>
    <w:p>
      <w:pPr>
        <w:pStyle w:val="Heading2"/>
      </w:pPr>
      <w:r>
        <w:rPr>
          <w:rFonts w:ascii="맑은 고딕" w:hAnsi="맑은 고딕"/>
        </w:rPr>
        <w:t>1. 추진 배경 및 참여자 특성</w:t>
      </w:r>
    </w:p>
    <w:p>
      <w:pPr>
        <w:spacing w:after="60"/>
      </w:pPr>
      <w:r>
        <w:rPr>
          <w:rFonts w:ascii="맑은 고딕" w:hAnsi="맑은 고딕"/>
          <w:sz w:val="21"/>
        </w:rPr>
        <w:t>- 대상: 50~60대 중장년 장기 실직자 8명</w:t>
      </w:r>
    </w:p>
    <w:p>
      <w:pPr>
        <w:spacing w:after="60"/>
      </w:pPr>
      <w:r>
        <w:rPr>
          <w:rFonts w:ascii="맑은 고딕" w:hAnsi="맑은 고딕"/>
          <w:sz w:val="21"/>
        </w:rPr>
        <w:t>- 문제점: 단순 노무 경험 위주로 전문 방역 장비 및 법정 소독 자격 부재</w:t>
      </w:r>
    </w:p>
    <w:p>
      <w:pPr>
        <w:pStyle w:val="Heading2"/>
      </w:pPr>
      <w:r>
        <w:rPr>
          <w:rFonts w:ascii="맑은 고딕" w:hAnsi="맑은 고딕"/>
        </w:rPr>
        <w:t>2. 맞춤형 자립 지원 및 동기부여 프로그램</w:t>
      </w:r>
    </w:p>
    <w:p>
      <w:pPr>
        <w:spacing w:after="60"/>
      </w:pPr>
      <w:r>
        <w:rPr>
          <w:rFonts w:ascii="맑은 고딕" w:hAnsi="맑은 고딕"/>
          <w:sz w:val="21"/>
        </w:rPr>
        <w:t>- 전문 위탁 교육: 방역위생관리사 2급 자격 과정 전원 수료</w:t>
      </w:r>
    </w:p>
    <w:p>
      <w:pPr>
        <w:spacing w:after="60"/>
      </w:pPr>
      <w:r>
        <w:rPr>
          <w:rFonts w:ascii="맑은 고딕" w:hAnsi="맑은 고딕"/>
          <w:sz w:val="21"/>
        </w:rPr>
        <w:t>- 공공 판로 개척: 지자체 복지관, 어린이집, 경로당 정기 소독 계약 체결</w:t>
      </w:r>
    </w:p>
    <w:p>
      <w:pPr>
        <w:pStyle w:val="Heading2"/>
      </w:pPr>
      <w:r>
        <w:rPr>
          <w:rFonts w:ascii="맑은 고딕" w:hAnsi="맑은 고딕"/>
        </w:rPr>
        <w:t>3. 주요 정량·정성 성과 및 성공 요인</w:t>
      </w:r>
    </w:p>
    <w:p>
      <w:pPr>
        <w:spacing w:after="60"/>
      </w:pPr>
      <w:r>
        <w:rPr>
          <w:rFonts w:ascii="맑은 고딕" w:hAnsi="맑은 고딕"/>
          <w:sz w:val="21"/>
        </w:rPr>
        <w:t>- 정량 성과: 연매출 1억 1,000만 원 돌파, 1인당 월평균 자립성과금 45만 원 지급</w:t>
      </w:r>
    </w:p>
    <w:p>
      <w:pPr>
        <w:spacing w:after="60"/>
      </w:pPr>
      <w:r>
        <w:rPr>
          <w:rFonts w:ascii="맑은 고딕" w:hAnsi="맑은 고딕"/>
          <w:sz w:val="21"/>
        </w:rPr>
        <w:t>- 성공 요인: 공공조달 우선구매제도 적극 활용 및 표준화된 매뉴얼 구축</w:t>
      </w:r>
    </w:p>
    <w:p/>
    <w:p>
      <w:pPr>
        <w:pStyle w:val="Heading1"/>
      </w:pPr>
      <w:r>
        <w:rPr>
          <w:rFonts w:ascii="맑은 고딕" w:hAnsi="맑은 고딕"/>
          <w:b/>
          <w:color w:val="1D4ED8"/>
          <w:sz w:val="28"/>
        </w:rPr>
        <w:t>■ 우수사례 3: 초록마을 스마트 도시농업사업단 (도시농업 및 친환경 먹거리)</w:t>
      </w:r>
    </w:p>
    <w:p>
      <w:pPr>
        <w:pStyle w:val="Heading2"/>
      </w:pPr>
      <w:r>
        <w:rPr>
          <w:rFonts w:ascii="맑은 고딕" w:hAnsi="맑은 고딕"/>
        </w:rPr>
        <w:t>1. 추진 배경 및 참여자 특성</w:t>
      </w:r>
    </w:p>
    <w:p>
      <w:pPr>
        <w:spacing w:after="60"/>
      </w:pPr>
      <w:r>
        <w:rPr>
          <w:rFonts w:ascii="맑은 고딕" w:hAnsi="맑은 고딕"/>
          <w:sz w:val="21"/>
        </w:rPr>
        <w:t>- 대상: 고령 참여자 및 경증 만성질환 참여자 10명</w:t>
      </w:r>
    </w:p>
    <w:p>
      <w:pPr>
        <w:spacing w:after="60"/>
      </w:pPr>
      <w:r>
        <w:rPr>
          <w:rFonts w:ascii="맑은 고딕" w:hAnsi="맑은 고딕"/>
          <w:sz w:val="21"/>
        </w:rPr>
        <w:t>- 문제점: 고강도 육체 노동이 불가능하여 기존 사업단 적응 실패</w:t>
      </w:r>
    </w:p>
    <w:p>
      <w:pPr>
        <w:pStyle w:val="Heading2"/>
      </w:pPr>
      <w:r>
        <w:rPr>
          <w:rFonts w:ascii="맑은 고딕" w:hAnsi="맑은 고딕"/>
        </w:rPr>
        <w:t>2. 맞춤형 자립 지원 및 동기부여 프로그램</w:t>
      </w:r>
    </w:p>
    <w:p>
      <w:pPr>
        <w:spacing w:after="60"/>
      </w:pPr>
      <w:r>
        <w:rPr>
          <w:rFonts w:ascii="맑은 고딕" w:hAnsi="맑은 고딕"/>
          <w:sz w:val="21"/>
        </w:rPr>
        <w:t>- 스마트팜 설비 도입으로 신체 부담 최소화(IoT 자동 급수/온도 제어)</w:t>
      </w:r>
    </w:p>
    <w:p>
      <w:pPr>
        <w:spacing w:after="60"/>
      </w:pPr>
      <w:r>
        <w:rPr>
          <w:rFonts w:ascii="맑은 고딕" w:hAnsi="맑은 고딕"/>
          <w:sz w:val="21"/>
        </w:rPr>
        <w:t>- 치유농업(Agro-healing) 프로그램을 병행하여 심리 안정 도모</w:t>
      </w:r>
    </w:p>
    <w:p>
      <w:pPr>
        <w:pStyle w:val="Heading2"/>
      </w:pPr>
      <w:r>
        <w:rPr>
          <w:rFonts w:ascii="맑은 고딕" w:hAnsi="맑은 고딕"/>
        </w:rPr>
        <w:t>3. 주요 정량·정성 성과 및 성공 요인</w:t>
      </w:r>
    </w:p>
    <w:p>
      <w:pPr>
        <w:spacing w:after="60"/>
      </w:pPr>
      <w:r>
        <w:rPr>
          <w:rFonts w:ascii="맑은 고딕" w:hAnsi="맑은 고딕"/>
          <w:sz w:val="21"/>
        </w:rPr>
        <w:t>- 정량 성과: 월 1.5톤 무농약 샐러드 채소 수확 및 관내 뷔페 납품</w:t>
      </w:r>
    </w:p>
    <w:p>
      <w:pPr>
        <w:spacing w:after="60"/>
      </w:pPr>
      <w:r>
        <w:rPr>
          <w:rFonts w:ascii="맑은 고딕" w:hAnsi="맑은 고딕"/>
          <w:sz w:val="21"/>
        </w:rPr>
        <w:t>- 성공 요인: 참여자 신체 역량에 맞춘 맞춤형 직무 설계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