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2026년도 자활근로 사업단 연간 운영계획서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사업단명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그린클린 방역·세차 사업단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사업유형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시장진입형 자활근로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목표기간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2026년 1월 ~ 2026년 12월 (3년 내 자활기업 전환)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시장 환경 분석 및 SWOT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강점(S): 공공기관 조달 등록, 친환경 인증 약제 사용, 숙련된 작업 인력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기회(O): 지자체 공공건물 정기 소독 의무화 및 취약계층 방역 바우처 확대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연간 손익 및 재무 계획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구분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상반기 (원)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하반기 (원)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연간 합계 (원)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매출액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45,000,000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50,000,000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95,000,000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재료비/소모품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15,000,000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17,000,000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32,000,000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운영비/제세공과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10,000,000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10,000,000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20,000,000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당기 순이익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20,000,000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23,000,000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43,000,000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