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30"/>
        </w:rPr>
        <w:t>보건복지부 2026년도 지역자활센터 성과평가 가이드라인</w:t>
      </w:r>
    </w:p>
    <w:p>
      <w:pPr>
        <w:jc w:val="center"/>
      </w:pPr>
      <w:r>
        <w:rPr>
          <w:rFonts w:ascii="맑은 고딕" w:hAnsi="맑은 고딕"/>
          <w:color w:val="4A5568"/>
          <w:sz w:val="19"/>
        </w:rPr>
        <w:t>최근 2개년(2024~2025) 실적 종합 평가 및 배점 기준</w:t>
      </w:r>
    </w:p>
    <w:p>
      <w:pPr>
        <w:spacing w:before="160" w:after="60"/>
      </w:pPr>
      <w:r>
        <w:rPr>
          <w:b/>
          <w:color w:val="2B6CB0"/>
          <w:sz w:val="22"/>
        </w:rPr>
        <w:t>■ 평가 목적: 지역자활센터의 사업 운영 효율성 제고 및 참여자 자립 성과 극대화</w:t>
      </w:r>
    </w:p>
    <w:p>
      <w:pPr>
        <w:spacing w:before="160" w:after="60"/>
      </w:pPr>
      <w:r>
        <w:rPr>
          <w:b/>
          <w:color w:val="2B6CB0"/>
          <w:sz w:val="22"/>
        </w:rPr>
        <w:t>■ 평가 대상 기간: 2024년 ~ 2025년 (최근 2개년 종합 실적 평가)</w:t>
      </w:r>
    </w:p>
    <w:p>
      <w:pPr>
        <w:spacing w:before="160" w:after="60"/>
      </w:pPr>
      <w:r>
        <w:rPr>
          <w:b/>
          <w:color w:val="2B6CB0"/>
          <w:sz w:val="22"/>
        </w:rPr>
        <w:t>■ 평가 등급 체계: 최우수(A, 상위 10%), 우수(B, 30%), 보통(C, 40%), 미흡(D, 20%)</w:t>
      </w:r>
    </w:p>
    <w:p>
      <w:pPr>
        <w:spacing w:before="160" w:after="60"/>
      </w:pPr>
      <w:r>
        <w:rPr>
          <w:b/>
          <w:color w:val="2B6CB0"/>
          <w:sz w:val="22"/>
        </w:rPr>
        <w:t>■ 1. 2026년도 주요 개정 및 강화 평가지표 (배점 총 100점)</w:t>
      </w:r>
    </w:p>
    <w:p>
      <w:pPr>
        <w:spacing w:after="60"/>
      </w:pPr>
      <w:r>
        <w:rPr>
          <w:b/>
          <w:sz w:val="20"/>
        </w:rPr>
        <w:t>1. [자활기업 창업 및 유지율 배점 대폭 확대 (15점 ➔ 25점)]</w:t>
      </w:r>
    </w:p>
    <w:p>
      <w:pPr>
        <w:spacing w:after="40"/>
        <w:ind w:left="288"/>
      </w:pPr>
      <w:r>
        <w:rPr>
          <w:sz w:val="19"/>
        </w:rPr>
        <w:t>- 최근 2개년 내 자활기업 창업 건수 및 창업 후 1년 이상 고용 유지율을 중점 평가.</w:t>
      </w:r>
    </w:p>
    <w:p>
      <w:pPr>
        <w:spacing w:after="40"/>
        <w:ind w:left="288"/>
      </w:pPr>
      <w:r>
        <w:rPr>
          <w:sz w:val="19"/>
        </w:rPr>
        <w:t>- 단순 일자리 제공을 넘어 실질적인 독립 자활기업 배출 실적에 최고 배점 부여.</w:t>
      </w:r>
    </w:p>
    <w:p>
      <w:pPr>
        <w:spacing w:after="60"/>
      </w:pPr>
      <w:r>
        <w:rPr>
          <w:b/>
          <w:sz w:val="20"/>
        </w:rPr>
        <w:t>2. [참여자 탈수급률 및 취·창업률 기준 상향 (20점 ➔ 25점)]</w:t>
      </w:r>
    </w:p>
    <w:p>
      <w:pPr>
        <w:spacing w:after="40"/>
        <w:ind w:left="288"/>
      </w:pPr>
      <w:r>
        <w:rPr>
          <w:sz w:val="19"/>
        </w:rPr>
        <w:t>- 참여 주민의 생계급여 탈수급 및 일반 노동시장 취업·자활기업 참여 전환율 평가.</w:t>
      </w:r>
    </w:p>
    <w:p>
      <w:pPr>
        <w:spacing w:after="40"/>
        <w:ind w:left="288"/>
      </w:pPr>
      <w:r>
        <w:rPr>
          <w:sz w:val="19"/>
        </w:rPr>
        <w:t>- 목표 기준치: 2개년 평균 탈수급/취창업률 35% 이상 시 만점 부여 (30% 미만 시 감점).</w:t>
      </w:r>
    </w:p>
    <w:p>
      <w:pPr>
        <w:spacing w:after="60"/>
      </w:pPr>
      <w:r>
        <w:rPr>
          <w:b/>
          <w:sz w:val="20"/>
        </w:rPr>
        <w:t>3. [ESG 친환경 그린 자활사업단 운영 가점 신설 (+5점 가산)]</w:t>
      </w:r>
    </w:p>
    <w:p>
      <w:pPr>
        <w:spacing w:after="40"/>
        <w:ind w:left="288"/>
      </w:pPr>
      <w:r>
        <w:rPr>
          <w:sz w:val="19"/>
        </w:rPr>
        <w:t>- 탄소중립 실천, 다회용기 세척, 자원순환, 제로웨이스트 등 친환경 녹색 일자리 사업단을 1개소 이상 성공적으로 운영하고 매출을 발생시킨 센터에 대해 총점 외 가점 +5점 부여.</w:t>
      </w:r>
    </w:p>
    <w:p>
      <w:pPr>
        <w:spacing w:after="60"/>
      </w:pPr>
      <w:r>
        <w:rPr>
          <w:b/>
          <w:sz w:val="20"/>
        </w:rPr>
        <w:t>4. [참여자 역량강화 및 전문 자격증 취득률 (15점)]</w:t>
      </w:r>
    </w:p>
    <w:p>
      <w:pPr>
        <w:spacing w:after="40"/>
        <w:ind w:left="288"/>
      </w:pPr>
      <w:r>
        <w:rPr>
          <w:sz w:val="19"/>
        </w:rPr>
        <w:t>- 직무 관련 국가공인/민간 전문 자격증 취득률 50% 이상 달성 시 만점.</w:t>
      </w:r>
    </w:p>
    <w:p>
      <w:pPr>
        <w:spacing w:after="60"/>
      </w:pPr>
      <w:r>
        <w:rPr>
          <w:b/>
          <w:sz w:val="20"/>
        </w:rPr>
        <w:t>5. [개인정보 보호 관리체계 및 산업안전보건 평가 신설 (15점)]</w:t>
      </w:r>
    </w:p>
    <w:p>
      <w:pPr>
        <w:spacing w:after="40"/>
        <w:ind w:left="288"/>
      </w:pPr>
      <w:r>
        <w:rPr>
          <w:sz w:val="19"/>
        </w:rPr>
        <w:t>- 상담 기록 비식별화 처리, 전산 보안 규정 준수, 중대재해 예방 분기별 안전보건 점검 및 무재해 달성 여부 정밀 실사.</w:t>
      </w:r>
    </w:p>
    <w:p>
      <w:pPr>
        <w:spacing w:before="160" w:after="60"/>
      </w:pPr>
      <w:r>
        <w:rPr>
          <w:b/>
          <w:color w:val="2B6CB0"/>
          <w:sz w:val="22"/>
        </w:rPr>
        <w:t>■ 2. 평가 대비 권고사항:</w:t>
      </w:r>
    </w:p>
    <w:p>
      <w:pPr>
        <w:spacing w:after="60"/>
      </w:pPr>
      <w:r>
        <w:rPr>
          <w:sz w:val="19"/>
        </w:rPr>
        <w:t>센터는 최근 2개년(2024~2025) 실적 데이터를 정밀 교차 분석하여, 자활기업 유지 관리 현황 및 탈수급률 달성 추이를 점검하고 가점 항목(친환경 사업단) 실적을 철저히 증빙할 것.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