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rFonts w:ascii="Aptos Display" w:hAnsi="Aptos Display"/>
          <w:b/>
          <w:color w:val="126E82"/>
          <w:sz w:val="84"/>
        </w:rPr>
        <w:t>MLBB</w:t>
      </w:r>
    </w:p>
    <w:p>
      <w:pPr>
        <w:spacing w:after="20"/>
      </w:pPr>
      <w:r>
        <w:rPr>
          <w:rFonts w:ascii="Aptos Display" w:hAnsi="Aptos Display"/>
          <w:b/>
          <w:color w:val="102338"/>
          <w:sz w:val="54"/>
        </w:rPr>
        <w:t>META &amp; COUNTER</w:t>
      </w:r>
    </w:p>
    <w:p>
      <w:pPr>
        <w:spacing w:after="400"/>
      </w:pPr>
      <w:r>
        <w:rPr>
          <w:b/>
          <w:color w:val="126E82"/>
          <w:sz w:val="28"/>
        </w:rPr>
        <w:t>FULL PUBLIC-DATA EXTRACTION • V3</w:t>
      </w:r>
    </w:p>
    <w:p>
      <w:pPr>
        <w:spacing w:after="360"/>
      </w:pPr>
      <w:r>
        <w:t>Pipeline, sourced snapshots, data schema, and audit controls for MPL, MSC, M-Series and other professional MLBB tournaments.</w:t>
      </w:r>
    </w:p>
    <w:tbl>
      <w:tblPr>
        <w:tblW w:type="auto" w:w="0"/>
        <w:tblLook w:firstColumn="1" w:firstRow="1" w:lastColumn="0" w:lastRow="0" w:noHBand="0" w:noVBand="1" w:val="04A0"/>
      </w:tblPr>
      <w:tblGrid>
        <w:gridCol w:w="10166"/>
      </w:tblGrid>
      <w:tr>
        <w:tc>
          <w:tcPr>
            <w:tcW w:type="dxa" w:w="10166"/>
            <w:shd w:fill="102338"/>
            <w:vAlign w:val="center"/>
          </w:tcPr>
          <w:p>
            <w:pPr>
              <w:spacing w:after="0"/>
            </w:pPr>
            <w:r/>
            <w:r>
              <w:rPr>
                <w:rFonts w:ascii="Aptos" w:hAnsi="Aptos"/>
                <w:b w:val="0"/>
                <w:color w:val="FFFFFF"/>
                <w:sz w:val="22"/>
              </w:rPr>
              <w:t>INTEGRITY STATUS: The attached ZIP is an extraction toolkit with sourced starter snapshots. The live historical extraction has not been run in this environment because direct external network access is unavailable. The collector is designed to run in a network-enabled environment and checks for a real 100 MiB output without filler data.</w:t>
            </w:r>
          </w:p>
        </w:tc>
      </w:tr>
    </w:tbl>
    <w:p/>
    <w:p>
      <w:pPr>
        <w:pStyle w:val="Heading1"/>
      </w:pPr>
      <w:r>
        <w:t>Executive overview</w:t>
      </w:r>
    </w:p>
    <w:p>
      <w:r>
        <w:t>This V3 package expands the earlier research bundle into a reproducible collection workflow. It preserves already captured, source-labelled hero snapshots and adds an extractor for public tournament pages, table parsing, public repository assets, and run-level audit logs. It does not represent the completed exhaustive archive of every historical tournament or every draft.</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02338"/>
          </w:tcPr>
          <w:p>
            <w:pPr>
              <w:spacing w:after="0"/>
            </w:pPr>
            <w:r/>
            <w:r>
              <w:rPr>
                <w:rFonts w:ascii="Aptos" w:hAnsi="Aptos"/>
                <w:b/>
                <w:color w:val="FFFFFF"/>
                <w:sz w:val="17"/>
              </w:rPr>
              <w:t>Requirement</w:t>
            </w:r>
          </w:p>
        </w:tc>
        <w:tc>
          <w:tcPr>
            <w:tcW w:type="dxa" w:w="7776"/>
            <w:vAlign w:val="center"/>
            <w:shd w:fill="102338"/>
          </w:tcPr>
          <w:p>
            <w:pPr>
              <w:spacing w:after="0"/>
            </w:pPr>
            <w:r/>
            <w:r>
              <w:rPr>
                <w:rFonts w:ascii="Aptos" w:hAnsi="Aptos"/>
                <w:b/>
                <w:color w:val="FFFFFF"/>
                <w:sz w:val="17"/>
              </w:rPr>
              <w:t>V3 treatment</w:t>
            </w:r>
          </w:p>
        </w:tc>
      </w:tr>
      <w:tr>
        <w:tc>
          <w:tcPr>
            <w:tcW w:type="dxa" w:w="2304"/>
            <w:vAlign w:val="center"/>
          </w:tcPr>
          <w:p>
            <w:pPr>
              <w:spacing w:after="0"/>
            </w:pPr>
            <w:r/>
            <w:r>
              <w:rPr>
                <w:rFonts w:ascii="Aptos" w:hAnsi="Aptos"/>
                <w:b w:val="0"/>
                <w:color w:val="1B2935"/>
                <w:sz w:val="16"/>
              </w:rPr>
              <w:t>All hero coverage</w:t>
            </w:r>
          </w:p>
        </w:tc>
        <w:tc>
          <w:tcPr>
            <w:tcW w:type="dxa" w:w="7776"/>
            <w:vAlign w:val="center"/>
          </w:tcPr>
          <w:p>
            <w:pPr>
              <w:spacing w:after="0"/>
            </w:pPr>
            <w:r/>
            <w:r>
              <w:rPr>
                <w:rFonts w:ascii="Aptos" w:hAnsi="Aptos"/>
                <w:b w:val="0"/>
                <w:color w:val="1B2935"/>
                <w:sz w:val="16"/>
              </w:rPr>
              <w:t>Global pro snapshot included; full hero/season coverage requires validation from source tables.</w:t>
            </w:r>
          </w:p>
        </w:tc>
      </w:tr>
      <w:tr>
        <w:tc>
          <w:tcPr>
            <w:tcW w:type="dxa" w:w="2304"/>
            <w:vAlign w:val="center"/>
            <w:shd w:fill="F0F5F8"/>
          </w:tcPr>
          <w:p>
            <w:pPr>
              <w:spacing w:after="0"/>
            </w:pPr>
            <w:r/>
            <w:r>
              <w:rPr>
                <w:rFonts w:ascii="Aptos" w:hAnsi="Aptos"/>
                <w:b w:val="0"/>
                <w:color w:val="1B2935"/>
                <w:sz w:val="16"/>
              </w:rPr>
              <w:t>All MPL seasons</w:t>
            </w:r>
          </w:p>
        </w:tc>
        <w:tc>
          <w:tcPr>
            <w:tcW w:type="dxa" w:w="7776"/>
            <w:vAlign w:val="center"/>
            <w:shd w:fill="F0F5F8"/>
          </w:tcPr>
          <w:p>
            <w:pPr>
              <w:spacing w:after="0"/>
            </w:pPr>
            <w:r/>
            <w:r>
              <w:rPr>
                <w:rFonts w:ascii="Aptos" w:hAnsi="Aptos"/>
                <w:b w:val="0"/>
                <w:color w:val="1B2935"/>
                <w:sz w:val="16"/>
              </w:rPr>
              <w:t>Season-by-season inventory and game-level schema provided; historical completeness is not asserted.</w:t>
            </w:r>
          </w:p>
        </w:tc>
      </w:tr>
      <w:tr>
        <w:tc>
          <w:tcPr>
            <w:tcW w:type="dxa" w:w="2304"/>
            <w:vAlign w:val="center"/>
          </w:tcPr>
          <w:p>
            <w:pPr>
              <w:spacing w:after="0"/>
            </w:pPr>
            <w:r/>
            <w:r>
              <w:rPr>
                <w:rFonts w:ascii="Aptos" w:hAnsi="Aptos"/>
                <w:b w:val="0"/>
                <w:color w:val="1B2935"/>
                <w:sz w:val="16"/>
              </w:rPr>
              <w:t>M-Series / MSC / other events</w:t>
            </w:r>
          </w:p>
        </w:tc>
        <w:tc>
          <w:tcPr>
            <w:tcW w:type="dxa" w:w="7776"/>
            <w:vAlign w:val="center"/>
          </w:tcPr>
          <w:p>
            <w:pPr>
              <w:spacing w:after="0"/>
            </w:pPr>
            <w:r/>
            <w:r>
              <w:rPr>
                <w:rFonts w:ascii="Aptos" w:hAnsi="Aptos"/>
                <w:b w:val="0"/>
                <w:color w:val="1B2935"/>
                <w:sz w:val="16"/>
              </w:rPr>
              <w:t>Recent index counts and MSC 2026 hero snapshot included; extractor discovers accessible event pages.</w:t>
            </w:r>
          </w:p>
        </w:tc>
      </w:tr>
      <w:tr>
        <w:tc>
          <w:tcPr>
            <w:tcW w:type="dxa" w:w="2304"/>
            <w:vAlign w:val="center"/>
            <w:shd w:fill="F0F5F8"/>
          </w:tcPr>
          <w:p>
            <w:pPr>
              <w:spacing w:after="0"/>
            </w:pPr>
            <w:r/>
            <w:r>
              <w:rPr>
                <w:rFonts w:ascii="Aptos" w:hAnsi="Aptos"/>
                <w:b w:val="0"/>
                <w:color w:val="1B2935"/>
                <w:sz w:val="16"/>
              </w:rPr>
              <w:t>Draft counters</w:t>
            </w:r>
          </w:p>
        </w:tc>
        <w:tc>
          <w:tcPr>
            <w:tcW w:type="dxa" w:w="7776"/>
            <w:vAlign w:val="center"/>
            <w:shd w:fill="F0F5F8"/>
          </w:tcPr>
          <w:p>
            <w:pPr>
              <w:spacing w:after="0"/>
            </w:pPr>
            <w:r/>
            <w:r>
              <w:rPr>
                <w:rFonts w:ascii="Aptos" w:hAnsi="Aptos"/>
                <w:b w:val="0"/>
                <w:color w:val="1B2935"/>
                <w:sz w:val="16"/>
              </w:rPr>
              <w:t>Game-level data model supports heroes, bans, order, result, duration and patch where sourced.</w:t>
            </w:r>
          </w:p>
        </w:tc>
      </w:tr>
      <w:tr>
        <w:tc>
          <w:tcPr>
            <w:tcW w:type="dxa" w:w="2304"/>
            <w:vAlign w:val="center"/>
          </w:tcPr>
          <w:p>
            <w:pPr>
              <w:spacing w:after="0"/>
            </w:pPr>
            <w:r/>
            <w:r>
              <w:rPr>
                <w:rFonts w:ascii="Aptos" w:hAnsi="Aptos"/>
                <w:b w:val="0"/>
                <w:color w:val="1B2935"/>
                <w:sz w:val="16"/>
              </w:rPr>
              <w:t>100 MiB target</w:t>
            </w:r>
          </w:p>
        </w:tc>
        <w:tc>
          <w:tcPr>
            <w:tcW w:type="dxa" w:w="7776"/>
            <w:vAlign w:val="center"/>
          </w:tcPr>
          <w:p>
            <w:pPr>
              <w:spacing w:after="0"/>
            </w:pPr>
            <w:r/>
            <w:r>
              <w:rPr>
                <w:rFonts w:ascii="Aptos" w:hAnsi="Aptos"/>
                <w:b w:val="0"/>
                <w:color w:val="1B2935"/>
                <w:sz w:val="16"/>
              </w:rPr>
              <w:t>Runtime checks actual output size. If sources yield less than 100 MiB, it reports failure without padding or synthetic data.</w:t>
            </w:r>
          </w:p>
        </w:tc>
      </w:tr>
    </w:tbl>
    <w:p>
      <w:pPr>
        <w:spacing w:after="0"/>
      </w:pPr>
    </w:p>
    <w:p>
      <w:r>
        <w:br w:type="page"/>
      </w:r>
    </w:p>
    <w:p>
      <w:pPr>
        <w:pStyle w:val="Heading1"/>
      </w:pPr>
      <w:r>
        <w:t>1. Source inventory and current visible coverage</w:t>
      </w:r>
    </w:p>
    <w:p>
      <w:r>
        <w:t>The MLBBDex esports index checked on 22 October 2026 lists the current MPL S18 pages plus MSC 2026 and M7. Its page reports 554 recent games across MSC 2026, MPL ID S18, MPL PH S18 and MPL MY S18. These displayed counts are source-index counts, not an independent confirmation that every game has a complete draft record.</w:t>
      </w:r>
    </w:p>
    <w:tbl>
      <w:tblPr>
        <w:tblStyle w:val="TableGrid"/>
        <w:tblW w:type="auto" w:w="0"/>
        <w:jc w:val="center"/>
        <w:tblLook w:firstColumn="1" w:firstRow="1" w:lastColumn="0" w:lastRow="0" w:noHBand="0" w:noVBand="1" w:val="04A0"/>
      </w:tblPr>
      <w:tblGrid>
        <w:gridCol w:w="3389"/>
        <w:gridCol w:w="3389"/>
        <w:gridCol w:w="3389"/>
      </w:tblGrid>
      <w:tr>
        <w:tc>
          <w:tcPr>
            <w:tcW w:type="dxa" w:w="4320"/>
            <w:vAlign w:val="center"/>
            <w:shd w:fill="102338"/>
          </w:tcPr>
          <w:p>
            <w:pPr>
              <w:spacing w:after="0"/>
            </w:pPr>
            <w:r/>
            <w:r>
              <w:rPr>
                <w:rFonts w:ascii="Aptos" w:hAnsi="Aptos"/>
                <w:b/>
                <w:color w:val="FFFFFF"/>
                <w:sz w:val="17"/>
              </w:rPr>
              <w:t>Tournament</w:t>
            </w:r>
          </w:p>
        </w:tc>
        <w:tc>
          <w:tcPr>
            <w:tcW w:type="dxa" w:w="1728"/>
            <w:vAlign w:val="center"/>
            <w:shd w:fill="102338"/>
          </w:tcPr>
          <w:p>
            <w:pPr>
              <w:spacing w:after="0"/>
            </w:pPr>
            <w:r/>
            <w:r>
              <w:rPr>
                <w:rFonts w:ascii="Aptos" w:hAnsi="Aptos"/>
                <w:b/>
                <w:color w:val="FFFFFF"/>
                <w:sz w:val="17"/>
              </w:rPr>
              <w:t>Games listed</w:t>
            </w:r>
          </w:p>
        </w:tc>
        <w:tc>
          <w:tcPr>
            <w:tcW w:type="dxa" w:w="3744"/>
            <w:vAlign w:val="center"/>
            <w:shd w:fill="102338"/>
          </w:tcPr>
          <w:p>
            <w:pPr>
              <w:spacing w:after="0"/>
            </w:pPr>
            <w:r/>
            <w:r>
              <w:rPr>
                <w:rFonts w:ascii="Aptos" w:hAnsi="Aptos"/>
                <w:b/>
                <w:color w:val="FFFFFF"/>
                <w:sz w:val="17"/>
              </w:rPr>
              <w:t>Index status</w:t>
            </w:r>
          </w:p>
        </w:tc>
      </w:tr>
      <w:tr>
        <w:tc>
          <w:tcPr>
            <w:tcW w:type="dxa" w:w="4320"/>
            <w:vAlign w:val="center"/>
          </w:tcPr>
          <w:p>
            <w:pPr>
              <w:spacing w:after="0"/>
            </w:pPr>
            <w:r/>
            <w:r>
              <w:rPr>
                <w:rFonts w:ascii="Aptos" w:hAnsi="Aptos"/>
                <w:b w:val="0"/>
                <w:color w:val="1B2935"/>
                <w:sz w:val="16"/>
              </w:rPr>
              <w:t>MPL Philippines S18</w:t>
            </w:r>
          </w:p>
        </w:tc>
        <w:tc>
          <w:tcPr>
            <w:tcW w:type="dxa" w:w="1728"/>
            <w:vAlign w:val="center"/>
          </w:tcPr>
          <w:p>
            <w:pPr>
              <w:spacing w:after="0"/>
            </w:pPr>
            <w:r/>
            <w:r>
              <w:rPr>
                <w:rFonts w:ascii="Aptos" w:hAnsi="Aptos"/>
                <w:b w:val="0"/>
                <w:color w:val="1B2935"/>
                <w:sz w:val="16"/>
              </w:rPr>
              <w:t>134</w:t>
            </w:r>
          </w:p>
        </w:tc>
        <w:tc>
          <w:tcPr>
            <w:tcW w:type="dxa" w:w="3744"/>
            <w:vAlign w:val="center"/>
          </w:tcPr>
          <w:p>
            <w:pPr>
              <w:spacing w:after="0"/>
            </w:pPr>
            <w:r/>
            <w:r>
              <w:rPr>
                <w:rFonts w:ascii="Aptos" w:hAnsi="Aptos"/>
                <w:b w:val="0"/>
                <w:color w:val="1B2935"/>
                <w:sz w:val="16"/>
              </w:rPr>
              <w:t>Live</w:t>
            </w:r>
          </w:p>
        </w:tc>
      </w:tr>
      <w:tr>
        <w:tc>
          <w:tcPr>
            <w:tcW w:type="dxa" w:w="4320"/>
            <w:vAlign w:val="center"/>
            <w:shd w:fill="F0F5F8"/>
          </w:tcPr>
          <w:p>
            <w:pPr>
              <w:spacing w:after="0"/>
            </w:pPr>
            <w:r/>
            <w:r>
              <w:rPr>
                <w:rFonts w:ascii="Aptos" w:hAnsi="Aptos"/>
                <w:b w:val="0"/>
                <w:color w:val="1B2935"/>
                <w:sz w:val="16"/>
              </w:rPr>
              <w:t>MPL Indonesia S18</w:t>
            </w:r>
          </w:p>
        </w:tc>
        <w:tc>
          <w:tcPr>
            <w:tcW w:type="dxa" w:w="1728"/>
            <w:vAlign w:val="center"/>
            <w:shd w:fill="F0F5F8"/>
          </w:tcPr>
          <w:p>
            <w:pPr>
              <w:spacing w:after="0"/>
            </w:pPr>
            <w:r/>
            <w:r>
              <w:rPr>
                <w:rFonts w:ascii="Aptos" w:hAnsi="Aptos"/>
                <w:b w:val="0"/>
                <w:color w:val="1B2935"/>
                <w:sz w:val="16"/>
              </w:rPr>
              <w:t>174</w:t>
            </w:r>
          </w:p>
        </w:tc>
        <w:tc>
          <w:tcPr>
            <w:tcW w:type="dxa" w:w="3744"/>
            <w:vAlign w:val="center"/>
            <w:shd w:fill="F0F5F8"/>
          </w:tcPr>
          <w:p>
            <w:pPr>
              <w:spacing w:after="0"/>
            </w:pPr>
            <w:r/>
            <w:r>
              <w:rPr>
                <w:rFonts w:ascii="Aptos" w:hAnsi="Aptos"/>
                <w:b w:val="0"/>
                <w:color w:val="1B2935"/>
                <w:sz w:val="16"/>
              </w:rPr>
              <w:t>Live</w:t>
            </w:r>
          </w:p>
        </w:tc>
      </w:tr>
      <w:tr>
        <w:tc>
          <w:tcPr>
            <w:tcW w:type="dxa" w:w="4320"/>
            <w:vAlign w:val="center"/>
          </w:tcPr>
          <w:p>
            <w:pPr>
              <w:spacing w:after="0"/>
            </w:pPr>
            <w:r/>
            <w:r>
              <w:rPr>
                <w:rFonts w:ascii="Aptos" w:hAnsi="Aptos"/>
                <w:b w:val="0"/>
                <w:color w:val="1B2935"/>
                <w:sz w:val="16"/>
              </w:rPr>
              <w:t>MPL Malaysia S18</w:t>
            </w:r>
          </w:p>
        </w:tc>
        <w:tc>
          <w:tcPr>
            <w:tcW w:type="dxa" w:w="1728"/>
            <w:vAlign w:val="center"/>
          </w:tcPr>
          <w:p>
            <w:pPr>
              <w:spacing w:after="0"/>
            </w:pPr>
            <w:r/>
            <w:r>
              <w:rPr>
                <w:rFonts w:ascii="Aptos" w:hAnsi="Aptos"/>
                <w:b w:val="0"/>
                <w:color w:val="1B2935"/>
                <w:sz w:val="16"/>
              </w:rPr>
              <w:t>136</w:t>
            </w:r>
          </w:p>
        </w:tc>
        <w:tc>
          <w:tcPr>
            <w:tcW w:type="dxa" w:w="3744"/>
            <w:vAlign w:val="center"/>
          </w:tcPr>
          <w:p>
            <w:pPr>
              <w:spacing w:after="0"/>
            </w:pPr>
            <w:r/>
            <w:r>
              <w:rPr>
                <w:rFonts w:ascii="Aptos" w:hAnsi="Aptos"/>
                <w:b w:val="0"/>
                <w:color w:val="1B2935"/>
                <w:sz w:val="16"/>
              </w:rPr>
              <w:t>Live</w:t>
            </w:r>
          </w:p>
        </w:tc>
      </w:tr>
      <w:tr>
        <w:tc>
          <w:tcPr>
            <w:tcW w:type="dxa" w:w="4320"/>
            <w:vAlign w:val="center"/>
            <w:shd w:fill="F0F5F8"/>
          </w:tcPr>
          <w:p>
            <w:pPr>
              <w:spacing w:after="0"/>
            </w:pPr>
            <w:r/>
            <w:r>
              <w:rPr>
                <w:rFonts w:ascii="Aptos" w:hAnsi="Aptos"/>
                <w:b w:val="0"/>
                <w:color w:val="1B2935"/>
                <w:sz w:val="16"/>
              </w:rPr>
              <w:t>MSC 2026</w:t>
            </w:r>
          </w:p>
        </w:tc>
        <w:tc>
          <w:tcPr>
            <w:tcW w:type="dxa" w:w="1728"/>
            <w:vAlign w:val="center"/>
            <w:shd w:fill="F0F5F8"/>
          </w:tcPr>
          <w:p>
            <w:pPr>
              <w:spacing w:after="0"/>
            </w:pPr>
            <w:r/>
            <w:r>
              <w:rPr>
                <w:rFonts w:ascii="Aptos" w:hAnsi="Aptos"/>
                <w:b w:val="0"/>
                <w:color w:val="1B2935"/>
                <w:sz w:val="16"/>
              </w:rPr>
              <w:t>110</w:t>
            </w:r>
          </w:p>
        </w:tc>
        <w:tc>
          <w:tcPr>
            <w:tcW w:type="dxa" w:w="3744"/>
            <w:vAlign w:val="center"/>
            <w:shd w:fill="F0F5F8"/>
          </w:tcPr>
          <w:p>
            <w:pPr>
              <w:spacing w:after="0"/>
            </w:pPr>
            <w:r/>
            <w:r>
              <w:rPr>
                <w:rFonts w:ascii="Aptos" w:hAnsi="Aptos"/>
                <w:b w:val="0"/>
                <w:color w:val="1B2935"/>
                <w:sz w:val="16"/>
              </w:rPr>
              <w:t>Finished</w:t>
            </w:r>
          </w:p>
        </w:tc>
      </w:tr>
      <w:tr>
        <w:tc>
          <w:tcPr>
            <w:tcW w:type="dxa" w:w="4320"/>
            <w:vAlign w:val="center"/>
          </w:tcPr>
          <w:p>
            <w:pPr>
              <w:spacing w:after="0"/>
            </w:pPr>
            <w:r/>
            <w:r>
              <w:rPr>
                <w:rFonts w:ascii="Aptos" w:hAnsi="Aptos"/>
                <w:b w:val="0"/>
                <w:color w:val="1B2935"/>
                <w:sz w:val="16"/>
              </w:rPr>
              <w:t>M7 World Championship</w:t>
            </w:r>
          </w:p>
        </w:tc>
        <w:tc>
          <w:tcPr>
            <w:tcW w:type="dxa" w:w="1728"/>
            <w:vAlign w:val="center"/>
          </w:tcPr>
          <w:p>
            <w:pPr>
              <w:spacing w:after="0"/>
            </w:pPr>
            <w:r/>
            <w:r>
              <w:rPr>
                <w:rFonts w:ascii="Aptos" w:hAnsi="Aptos"/>
                <w:b w:val="0"/>
                <w:color w:val="1B2935"/>
                <w:sz w:val="16"/>
              </w:rPr>
              <w:t>137</w:t>
            </w:r>
          </w:p>
        </w:tc>
        <w:tc>
          <w:tcPr>
            <w:tcW w:type="dxa" w:w="3744"/>
            <w:vAlign w:val="center"/>
          </w:tcPr>
          <w:p>
            <w:pPr>
              <w:spacing w:after="0"/>
            </w:pPr>
            <w:r/>
            <w:r>
              <w:rPr>
                <w:rFonts w:ascii="Aptos" w:hAnsi="Aptos"/>
                <w:b w:val="0"/>
                <w:color w:val="1B2935"/>
                <w:sz w:val="16"/>
              </w:rPr>
              <w:t>Finished</w:t>
            </w:r>
          </w:p>
        </w:tc>
      </w:tr>
    </w:tbl>
    <w:p>
      <w:pPr>
        <w:spacing w:after="0"/>
      </w:pPr>
    </w:p>
    <w:p>
      <w:pPr>
        <w:pStyle w:val="Heading2"/>
      </w:pPr>
      <w:r>
        <w:t>Main sources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02338"/>
          </w:tcPr>
          <w:p>
            <w:pPr>
              <w:spacing w:after="0"/>
            </w:pPr>
            <w:r/>
            <w:r>
              <w:rPr>
                <w:rFonts w:ascii="Aptos" w:hAnsi="Aptos"/>
                <w:b/>
                <w:color w:val="FFFFFF"/>
                <w:sz w:val="17"/>
              </w:rPr>
              <w:t>Source</w:t>
            </w:r>
          </w:p>
        </w:tc>
        <w:tc>
          <w:tcPr>
            <w:tcW w:type="dxa" w:w="4032"/>
            <w:vAlign w:val="center"/>
            <w:shd w:fill="102338"/>
          </w:tcPr>
          <w:p>
            <w:pPr>
              <w:spacing w:after="0"/>
            </w:pPr>
            <w:r/>
            <w:r>
              <w:rPr>
                <w:rFonts w:ascii="Aptos" w:hAnsi="Aptos"/>
                <w:b/>
                <w:color w:val="FFFFFF"/>
                <w:sz w:val="17"/>
              </w:rPr>
              <w:t>What it contributes</w:t>
            </w:r>
          </w:p>
        </w:tc>
        <w:tc>
          <w:tcPr>
            <w:tcW w:type="dxa" w:w="3672"/>
            <w:vAlign w:val="center"/>
            <w:shd w:fill="102338"/>
          </w:tcPr>
          <w:p>
            <w:pPr>
              <w:spacing w:after="0"/>
            </w:pPr>
            <w:r/>
            <w:r>
              <w:rPr>
                <w:rFonts w:ascii="Aptos" w:hAnsi="Aptos"/>
                <w:b/>
                <w:color w:val="FFFFFF"/>
                <w:sz w:val="17"/>
              </w:rPr>
              <w:t>Important limit</w:t>
            </w:r>
          </w:p>
        </w:tc>
      </w:tr>
      <w:tr>
        <w:tc>
          <w:tcPr>
            <w:tcW w:type="dxa" w:w="2088"/>
            <w:vAlign w:val="center"/>
          </w:tcPr>
          <w:p>
            <w:pPr>
              <w:spacing w:after="0"/>
            </w:pPr>
            <w:r/>
            <w:r>
              <w:rPr>
                <w:rFonts w:ascii="Aptos" w:hAnsi="Aptos"/>
                <w:b w:val="0"/>
                <w:color w:val="1B2935"/>
                <w:sz w:val="16"/>
              </w:rPr>
              <w:t>MLBBDex esports index</w:t>
            </w:r>
          </w:p>
        </w:tc>
        <w:tc>
          <w:tcPr>
            <w:tcW w:type="dxa" w:w="4032"/>
            <w:vAlign w:val="center"/>
          </w:tcPr>
          <w:p>
            <w:pPr>
              <w:spacing w:after="0"/>
            </w:pPr>
            <w:r/>
            <w:r>
              <w:rPr>
                <w:rFonts w:ascii="Aptos" w:hAnsi="Aptos"/>
                <w:b w:val="0"/>
                <w:color w:val="1B2935"/>
                <w:sz w:val="16"/>
              </w:rPr>
              <w:t>Tournament discovery, page links, displayed game counts, hero data by event.</w:t>
            </w:r>
          </w:p>
        </w:tc>
        <w:tc>
          <w:tcPr>
            <w:tcW w:type="dxa" w:w="3672"/>
            <w:vAlign w:val="center"/>
          </w:tcPr>
          <w:p>
            <w:pPr>
              <w:spacing w:after="0"/>
            </w:pPr>
            <w:r/>
            <w:r>
              <w:rPr>
                <w:rFonts w:ascii="Aptos" w:hAnsi="Aptos"/>
                <w:b w:val="0"/>
                <w:color w:val="1B2935"/>
                <w:sz w:val="16"/>
              </w:rPr>
              <w:t>Coverage depends on the pages currently indexed.</w:t>
            </w:r>
          </w:p>
        </w:tc>
      </w:tr>
      <w:tr>
        <w:tc>
          <w:tcPr>
            <w:tcW w:type="dxa" w:w="2088"/>
            <w:vAlign w:val="center"/>
            <w:shd w:fill="F0F5F8"/>
          </w:tcPr>
          <w:p>
            <w:pPr>
              <w:spacing w:after="0"/>
            </w:pPr>
            <w:r/>
            <w:r>
              <w:rPr>
                <w:rFonts w:ascii="Aptos" w:hAnsi="Aptos"/>
                <w:b w:val="0"/>
                <w:color w:val="1B2935"/>
                <w:sz w:val="16"/>
              </w:rPr>
              <w:t>MLBB Analytics</w:t>
            </w:r>
          </w:p>
        </w:tc>
        <w:tc>
          <w:tcPr>
            <w:tcW w:type="dxa" w:w="4032"/>
            <w:vAlign w:val="center"/>
            <w:shd w:fill="F0F5F8"/>
          </w:tcPr>
          <w:p>
            <w:pPr>
              <w:spacing w:after="0"/>
            </w:pPr>
            <w:r/>
            <w:r>
              <w:rPr>
                <w:rFonts w:ascii="Aptos" w:hAnsi="Aptos"/>
                <w:b w:val="0"/>
                <w:color w:val="1B2935"/>
                <w:sz w:val="16"/>
              </w:rPr>
              <w:t>Global professional hero statistics; prior capture reports 2,533 pro games across 20 championships.</w:t>
            </w:r>
          </w:p>
        </w:tc>
        <w:tc>
          <w:tcPr>
            <w:tcW w:type="dxa" w:w="3672"/>
            <w:vAlign w:val="center"/>
            <w:shd w:fill="F0F5F8"/>
          </w:tcPr>
          <w:p>
            <w:pPr>
              <w:spacing w:after="0"/>
            </w:pPr>
            <w:r/>
            <w:r>
              <w:rPr>
                <w:rFonts w:ascii="Aptos" w:hAnsi="Aptos"/>
                <w:b w:val="0"/>
                <w:color w:val="1B2935"/>
                <w:sz w:val="16"/>
              </w:rPr>
              <w:t>Aggregate sample should not be read as every match of every MPL season.</w:t>
            </w:r>
          </w:p>
        </w:tc>
      </w:tr>
      <w:tr>
        <w:tc>
          <w:tcPr>
            <w:tcW w:type="dxa" w:w="2088"/>
            <w:vAlign w:val="center"/>
          </w:tcPr>
          <w:p>
            <w:pPr>
              <w:spacing w:after="0"/>
            </w:pPr>
            <w:r/>
            <w:r>
              <w:rPr>
                <w:rFonts w:ascii="Aptos" w:hAnsi="Aptos"/>
                <w:b w:val="0"/>
                <w:color w:val="1B2935"/>
                <w:sz w:val="16"/>
              </w:rPr>
              <w:t>MLBBHub MPL MY S18</w:t>
            </w:r>
          </w:p>
        </w:tc>
        <w:tc>
          <w:tcPr>
            <w:tcW w:type="dxa" w:w="4032"/>
            <w:vAlign w:val="center"/>
          </w:tcPr>
          <w:p>
            <w:pPr>
              <w:spacing w:after="0"/>
            </w:pPr>
            <w:r/>
            <w:r>
              <w:rPr>
                <w:rFonts w:ascii="Aptos" w:hAnsi="Aptos"/>
                <w:b w:val="0"/>
                <w:color w:val="1B2935"/>
                <w:sz w:val="16"/>
              </w:rPr>
              <w:t>Visible season-level hero pick/ban and WR rows.</w:t>
            </w:r>
          </w:p>
        </w:tc>
        <w:tc>
          <w:tcPr>
            <w:tcW w:type="dxa" w:w="3672"/>
            <w:vAlign w:val="center"/>
          </w:tcPr>
          <w:p>
            <w:pPr>
              <w:spacing w:after="0"/>
            </w:pPr>
            <w:r/>
            <w:r>
              <w:rPr>
                <w:rFonts w:ascii="Aptos" w:hAnsi="Aptos"/>
                <w:b w:val="0"/>
                <w:color w:val="1B2935"/>
                <w:sz w:val="16"/>
              </w:rPr>
              <w:t>Current snapshot subset, not complete all-season coverage.</w:t>
            </w:r>
          </w:p>
        </w:tc>
      </w:tr>
      <w:tr>
        <w:tc>
          <w:tcPr>
            <w:tcW w:type="dxa" w:w="2088"/>
            <w:vAlign w:val="center"/>
            <w:shd w:fill="F0F5F8"/>
          </w:tcPr>
          <w:p>
            <w:pPr>
              <w:spacing w:after="0"/>
            </w:pPr>
            <w:r/>
            <w:r>
              <w:rPr>
                <w:rFonts w:ascii="Aptos" w:hAnsi="Aptos"/>
                <w:b w:val="0"/>
                <w:color w:val="1B2935"/>
                <w:sz w:val="16"/>
              </w:rPr>
              <w:t>Liquipedia statistics portal</w:t>
            </w:r>
          </w:p>
        </w:tc>
        <w:tc>
          <w:tcPr>
            <w:tcW w:type="dxa" w:w="4032"/>
            <w:vAlign w:val="center"/>
            <w:shd w:fill="F0F5F8"/>
          </w:tcPr>
          <w:p>
            <w:pPr>
              <w:spacing w:after="0"/>
            </w:pPr>
            <w:r/>
            <w:r>
              <w:rPr>
                <w:rFonts w:ascii="Aptos" w:hAnsi="Aptos"/>
                <w:b w:val="0"/>
                <w:color w:val="1B2935"/>
                <w:sz w:val="16"/>
              </w:rPr>
              <w:t>Broad historical index; its public page reports years 2017–2026, 1,128 tournaments and 72,512 games in its indexed set.</w:t>
            </w:r>
          </w:p>
        </w:tc>
        <w:tc>
          <w:tcPr>
            <w:tcW w:type="dxa" w:w="3672"/>
            <w:vAlign w:val="center"/>
            <w:shd w:fill="F0F5F8"/>
          </w:tcPr>
          <w:p>
            <w:pPr>
              <w:spacing w:after="0"/>
            </w:pPr>
            <w:r/>
            <w:r>
              <w:rPr>
                <w:rFonts w:ascii="Aptos" w:hAnsi="Aptos"/>
                <w:b w:val="0"/>
                <w:color w:val="1B2935"/>
                <w:sz w:val="16"/>
              </w:rPr>
              <w:t>Access may be blocked; collector logs that instead of bypassing it.</w:t>
            </w:r>
          </w:p>
        </w:tc>
      </w:tr>
      <w:tr>
        <w:tc>
          <w:tcPr>
            <w:tcW w:type="dxa" w:w="2088"/>
            <w:vAlign w:val="center"/>
          </w:tcPr>
          <w:p>
            <w:pPr>
              <w:spacing w:after="0"/>
            </w:pPr>
            <w:r/>
            <w:r>
              <w:rPr>
                <w:rFonts w:ascii="Aptos" w:hAnsi="Aptos"/>
                <w:b w:val="0"/>
                <w:color w:val="1B2935"/>
                <w:sz w:val="16"/>
              </w:rPr>
              <w:t>Public GitHub datasets</w:t>
            </w:r>
          </w:p>
        </w:tc>
        <w:tc>
          <w:tcPr>
            <w:tcW w:type="dxa" w:w="4032"/>
            <w:vAlign w:val="center"/>
          </w:tcPr>
          <w:p>
            <w:pPr>
              <w:spacing w:after="0"/>
            </w:pPr>
            <w:r/>
            <w:r>
              <w:rPr>
                <w:rFonts w:ascii="Aptos" w:hAnsi="Aptos"/>
                <w:b w:val="0"/>
                <w:color w:val="1B2935"/>
                <w:sz w:val="16"/>
              </w:rPr>
              <w:t>Open game reference JSON and images; community historical tournament analysis dataset.</w:t>
            </w:r>
          </w:p>
        </w:tc>
        <w:tc>
          <w:tcPr>
            <w:tcW w:type="dxa" w:w="3672"/>
            <w:vAlign w:val="center"/>
          </w:tcPr>
          <w:p>
            <w:pPr>
              <w:spacing w:after="0"/>
            </w:pPr>
            <w:r/>
            <w:r>
              <w:rPr>
                <w:rFonts w:ascii="Aptos" w:hAnsi="Aptos"/>
                <w:b w:val="0"/>
                <w:color w:val="1B2935"/>
                <w:sz w:val="16"/>
              </w:rPr>
              <w:t>Third-party datasets need separate freshness, schema and license review.</w:t>
            </w:r>
          </w:p>
        </w:tc>
      </w:tr>
    </w:tbl>
    <w:p>
      <w:pPr>
        <w:spacing w:after="0"/>
      </w:pPr>
    </w:p>
    <w:p>
      <w:r>
        <w:br w:type="page"/>
      </w:r>
    </w:p>
    <w:p>
      <w:pPr>
        <w:pStyle w:val="Heading1"/>
      </w:pPr>
      <w:r>
        <w:t>2. Dataset design</w:t>
      </w:r>
    </w:p>
    <w:p>
      <w:r>
        <w:t>The target archive is a traceable data lake of raw-source snapshots, normalized tables, assets, and metadata. Each extracted row should retain the source URL, retrieval timestamp, coverage state and confidence where possible.</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02338"/>
          </w:tcPr>
          <w:p>
            <w:pPr>
              <w:spacing w:after="0"/>
            </w:pPr>
            <w:r/>
            <w:r>
              <w:rPr>
                <w:rFonts w:ascii="Aptos" w:hAnsi="Aptos"/>
                <w:b/>
                <w:color w:val="FFFFFF"/>
                <w:sz w:val="17"/>
              </w:rPr>
              <w:t>Layer</w:t>
            </w:r>
          </w:p>
        </w:tc>
        <w:tc>
          <w:tcPr>
            <w:tcW w:type="dxa" w:w="4536"/>
            <w:vAlign w:val="center"/>
            <w:shd w:fill="102338"/>
          </w:tcPr>
          <w:p>
            <w:pPr>
              <w:spacing w:after="0"/>
            </w:pPr>
            <w:r/>
            <w:r>
              <w:rPr>
                <w:rFonts w:ascii="Aptos" w:hAnsi="Aptos"/>
                <w:b/>
                <w:color w:val="FFFFFF"/>
                <w:sz w:val="17"/>
              </w:rPr>
              <w:t>Contents</w:t>
            </w:r>
          </w:p>
        </w:tc>
        <w:tc>
          <w:tcPr>
            <w:tcW w:type="dxa" w:w="3456"/>
            <w:vAlign w:val="center"/>
            <w:shd w:fill="102338"/>
          </w:tcPr>
          <w:p>
            <w:pPr>
              <w:spacing w:after="0"/>
            </w:pPr>
            <w:r/>
            <w:r>
              <w:rPr>
                <w:rFonts w:ascii="Aptos" w:hAnsi="Aptos"/>
                <w:b/>
                <w:color w:val="FFFFFF"/>
                <w:sz w:val="17"/>
              </w:rPr>
              <w:t>Example files</w:t>
            </w:r>
          </w:p>
        </w:tc>
      </w:tr>
      <w:tr>
        <w:tc>
          <w:tcPr>
            <w:tcW w:type="dxa" w:w="1800"/>
            <w:vAlign w:val="center"/>
          </w:tcPr>
          <w:p>
            <w:pPr>
              <w:spacing w:after="0"/>
            </w:pPr>
            <w:r/>
            <w:r>
              <w:rPr>
                <w:rFonts w:ascii="Aptos" w:hAnsi="Aptos"/>
                <w:b w:val="0"/>
                <w:color w:val="1B2935"/>
                <w:sz w:val="16"/>
              </w:rPr>
              <w:t>Raw source</w:t>
            </w:r>
          </w:p>
        </w:tc>
        <w:tc>
          <w:tcPr>
            <w:tcW w:type="dxa" w:w="4536"/>
            <w:vAlign w:val="center"/>
          </w:tcPr>
          <w:p>
            <w:pPr>
              <w:spacing w:after="0"/>
            </w:pPr>
            <w:r/>
            <w:r>
              <w:rPr>
                <w:rFonts w:ascii="Aptos" w:hAnsi="Aptos"/>
                <w:b w:val="0"/>
                <w:color w:val="1B2935"/>
                <w:sz w:val="16"/>
              </w:rPr>
              <w:t>Original HTML and downloaded source archives preserved for audit.</w:t>
            </w:r>
          </w:p>
        </w:tc>
        <w:tc>
          <w:tcPr>
            <w:tcW w:type="dxa" w:w="3456"/>
            <w:vAlign w:val="center"/>
          </w:tcPr>
          <w:p>
            <w:pPr>
              <w:spacing w:after="0"/>
            </w:pPr>
            <w:r/>
            <w:r>
              <w:rPr>
                <w:rFonts w:ascii="Aptos" w:hAnsi="Aptos"/>
                <w:b w:val="0"/>
                <w:color w:val="1B2935"/>
                <w:sz w:val="16"/>
              </w:rPr>
              <w:t>raw_html/, reference/, raw_sources/</w:t>
            </w:r>
          </w:p>
        </w:tc>
      </w:tr>
      <w:tr>
        <w:tc>
          <w:tcPr>
            <w:tcW w:type="dxa" w:w="1800"/>
            <w:vAlign w:val="center"/>
            <w:shd w:fill="F0F5F8"/>
          </w:tcPr>
          <w:p>
            <w:pPr>
              <w:spacing w:after="0"/>
            </w:pPr>
            <w:r/>
            <w:r>
              <w:rPr>
                <w:rFonts w:ascii="Aptos" w:hAnsi="Aptos"/>
                <w:b w:val="0"/>
                <w:color w:val="1B2935"/>
                <w:sz w:val="16"/>
              </w:rPr>
              <w:t>Parsed tables</w:t>
            </w:r>
          </w:p>
        </w:tc>
        <w:tc>
          <w:tcPr>
            <w:tcW w:type="dxa" w:w="4536"/>
            <w:vAlign w:val="center"/>
            <w:shd w:fill="F0F5F8"/>
          </w:tcPr>
          <w:p>
            <w:pPr>
              <w:spacing w:after="0"/>
            </w:pPr>
            <w:r/>
            <w:r>
              <w:rPr>
                <w:rFonts w:ascii="Aptos" w:hAnsi="Aptos"/>
                <w:b w:val="0"/>
                <w:color w:val="1B2935"/>
                <w:sz w:val="16"/>
              </w:rPr>
              <w:t>HTML tables saved individually as UTF-8 CSV, plus discovered links.</w:t>
            </w:r>
          </w:p>
        </w:tc>
        <w:tc>
          <w:tcPr>
            <w:tcW w:type="dxa" w:w="3456"/>
            <w:vAlign w:val="center"/>
            <w:shd w:fill="F0F5F8"/>
          </w:tcPr>
          <w:p>
            <w:pPr>
              <w:spacing w:after="0"/>
            </w:pPr>
            <w:r/>
            <w:r>
              <w:rPr>
                <w:rFonts w:ascii="Aptos" w:hAnsi="Aptos"/>
                <w:b w:val="0"/>
                <w:color w:val="1B2935"/>
                <w:sz w:val="16"/>
              </w:rPr>
              <w:t>parsed_tables/*_table_*.csv; *_links.csv</w:t>
            </w:r>
          </w:p>
        </w:tc>
      </w:tr>
      <w:tr>
        <w:tc>
          <w:tcPr>
            <w:tcW w:type="dxa" w:w="1800"/>
            <w:vAlign w:val="center"/>
          </w:tcPr>
          <w:p>
            <w:pPr>
              <w:spacing w:after="0"/>
            </w:pPr>
            <w:r/>
            <w:r>
              <w:rPr>
                <w:rFonts w:ascii="Aptos" w:hAnsi="Aptos"/>
                <w:b w:val="0"/>
                <w:color w:val="1B2935"/>
                <w:sz w:val="16"/>
              </w:rPr>
              <w:t>Hero analytics</w:t>
            </w:r>
          </w:p>
        </w:tc>
        <w:tc>
          <w:tcPr>
            <w:tcW w:type="dxa" w:w="4536"/>
            <w:vAlign w:val="center"/>
          </w:tcPr>
          <w:p>
            <w:pPr>
              <w:spacing w:after="0"/>
            </w:pPr>
            <w:r/>
            <w:r>
              <w:rPr>
                <w:rFonts w:ascii="Aptos" w:hAnsi="Aptos"/>
                <w:b w:val="0"/>
                <w:color w:val="1B2935"/>
                <w:sz w:val="16"/>
              </w:rPr>
              <w:t>Picks, bans, wins/losses, rates, tournament, patch and games with recorded draft.</w:t>
            </w:r>
          </w:p>
        </w:tc>
        <w:tc>
          <w:tcPr>
            <w:tcW w:type="dxa" w:w="3456"/>
            <w:vAlign w:val="center"/>
          </w:tcPr>
          <w:p>
            <w:pPr>
              <w:spacing w:after="0"/>
            </w:pPr>
            <w:r/>
            <w:r>
              <w:rPr>
                <w:rFonts w:ascii="Aptos" w:hAnsi="Aptos"/>
                <w:b w:val="0"/>
                <w:color w:val="1B2935"/>
                <w:sz w:val="16"/>
              </w:rPr>
              <w:t>templates/hero_stats_schema.csv</w:t>
            </w:r>
          </w:p>
        </w:tc>
      </w:tr>
      <w:tr>
        <w:tc>
          <w:tcPr>
            <w:tcW w:type="dxa" w:w="1800"/>
            <w:vAlign w:val="center"/>
            <w:shd w:fill="F0F5F8"/>
          </w:tcPr>
          <w:p>
            <w:pPr>
              <w:spacing w:after="0"/>
            </w:pPr>
            <w:r/>
            <w:r>
              <w:rPr>
                <w:rFonts w:ascii="Aptos" w:hAnsi="Aptos"/>
                <w:b w:val="0"/>
                <w:color w:val="1B2935"/>
                <w:sz w:val="16"/>
              </w:rPr>
              <w:t>Game-level drafts</w:t>
            </w:r>
          </w:p>
        </w:tc>
        <w:tc>
          <w:tcPr>
            <w:tcW w:type="dxa" w:w="4536"/>
            <w:vAlign w:val="center"/>
            <w:shd w:fill="F0F5F8"/>
          </w:tcPr>
          <w:p>
            <w:pPr>
              <w:spacing w:after="0"/>
            </w:pPr>
            <w:r/>
            <w:r>
              <w:rPr>
                <w:rFonts w:ascii="Aptos" w:hAnsi="Aptos"/>
                <w:b w:val="0"/>
                <w:color w:val="1B2935"/>
                <w:sz w:val="16"/>
              </w:rPr>
              <w:t>Series/game ID, teams, winner, duration, patch, 10 picks, ban strings and pick order.</w:t>
            </w:r>
          </w:p>
        </w:tc>
        <w:tc>
          <w:tcPr>
            <w:tcW w:type="dxa" w:w="3456"/>
            <w:vAlign w:val="center"/>
            <w:shd w:fill="F0F5F8"/>
          </w:tcPr>
          <w:p>
            <w:pPr>
              <w:spacing w:after="0"/>
            </w:pPr>
            <w:r/>
            <w:r>
              <w:rPr>
                <w:rFonts w:ascii="Aptos" w:hAnsi="Aptos"/>
                <w:b w:val="0"/>
                <w:color w:val="1B2935"/>
                <w:sz w:val="16"/>
              </w:rPr>
              <w:t>templates/game_level_schema.csv</w:t>
            </w:r>
          </w:p>
        </w:tc>
      </w:tr>
      <w:tr>
        <w:tc>
          <w:tcPr>
            <w:tcW w:type="dxa" w:w="1800"/>
            <w:vAlign w:val="center"/>
          </w:tcPr>
          <w:p>
            <w:pPr>
              <w:spacing w:after="0"/>
            </w:pPr>
            <w:r/>
            <w:r>
              <w:rPr>
                <w:rFonts w:ascii="Aptos" w:hAnsi="Aptos"/>
                <w:b w:val="0"/>
                <w:color w:val="1B2935"/>
                <w:sz w:val="16"/>
              </w:rPr>
              <w:t>Coverage and provenance</w:t>
            </w:r>
          </w:p>
        </w:tc>
        <w:tc>
          <w:tcPr>
            <w:tcW w:type="dxa" w:w="4536"/>
            <w:vAlign w:val="center"/>
          </w:tcPr>
          <w:p>
            <w:pPr>
              <w:spacing w:after="0"/>
            </w:pPr>
            <w:r/>
            <w:r>
              <w:rPr>
                <w:rFonts w:ascii="Aptos" w:hAnsi="Aptos"/>
                <w:b w:val="0"/>
                <w:color w:val="1B2935"/>
                <w:sz w:val="16"/>
              </w:rPr>
              <w:t>URL status, file bytes, SHA-256 digest, timestamp, row count and extraction limitations.</w:t>
            </w:r>
          </w:p>
        </w:tc>
        <w:tc>
          <w:tcPr>
            <w:tcW w:type="dxa" w:w="3456"/>
            <w:vAlign w:val="center"/>
          </w:tcPr>
          <w:p>
            <w:pPr>
              <w:spacing w:after="0"/>
            </w:pPr>
            <w:r/>
            <w:r>
              <w:rPr>
                <w:rFonts w:ascii="Aptos" w:hAnsi="Aptos"/>
                <w:b w:val="0"/>
                <w:color w:val="1B2935"/>
                <w:sz w:val="16"/>
              </w:rPr>
              <w:t>source_fetch_log.csv; extraction_report.json</w:t>
            </w:r>
          </w:p>
        </w:tc>
      </w:tr>
    </w:tbl>
    <w:p>
      <w:pPr>
        <w:spacing w:after="0"/>
      </w:pPr>
    </w:p>
    <w:p>
      <w:pPr>
        <w:pStyle w:val="Heading2"/>
      </w:pPr>
      <w:r>
        <w:t>Counter analysis that can be derived</w:t>
      </w:r>
    </w:p>
    <w:p>
      <w:pPr>
        <w:pStyle w:val="ListBullet"/>
      </w:pPr>
      <w:r>
        <w:t>Hero vs hero outcomes by patch, tournament tier and region, with sample size and confidence interval.</w:t>
      </w:r>
    </w:p>
    <w:p>
      <w:pPr>
        <w:pStyle w:val="ListBullet"/>
      </w:pPr>
      <w:r>
        <w:t>Pick/ban priority and presence, separated from win rate to avoid confusing draft pressure with effectiveness.</w:t>
      </w:r>
    </w:p>
    <w:p>
      <w:pPr>
        <w:pStyle w:val="ListBullet"/>
      </w:pPr>
      <w:r>
        <w:t>Team composition patterns, frequent pairings, ban responses and counter-pick outcomes when draft order is captured.</w:t>
      </w:r>
    </w:p>
    <w:p>
      <w:pPr>
        <w:pStyle w:val="ListBullet"/>
      </w:pPr>
      <w:r>
        <w:t>Season comparison for each MPL region and event; stale patches should not be mixed with current meta without a patch control.</w:t>
      </w:r>
    </w:p>
    <w:p>
      <w:r>
        <w:br w:type="page"/>
      </w:r>
    </w:p>
    <w:p>
      <w:pPr>
        <w:pStyle w:val="Heading1"/>
      </w:pPr>
      <w:r>
        <w:t>3. Existing sourced snapshots</w:t>
      </w:r>
    </w:p>
    <w:p>
      <w:r>
        <w:t>These CSV files are included as starter data. They are source-attributed snapshots, not a completed full extraction.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952"/>
            <w:vAlign w:val="center"/>
            <w:shd w:fill="102338"/>
          </w:tcPr>
          <w:p>
            <w:pPr>
              <w:spacing w:after="0"/>
            </w:pPr>
            <w:r/>
            <w:r>
              <w:rPr>
                <w:rFonts w:ascii="Aptos" w:hAnsi="Aptos"/>
                <w:b/>
                <w:color w:val="FFFFFF"/>
                <w:sz w:val="17"/>
              </w:rPr>
              <w:t>CSV</w:t>
            </w:r>
          </w:p>
        </w:tc>
        <w:tc>
          <w:tcPr>
            <w:tcW w:type="dxa" w:w="2232"/>
            <w:vAlign w:val="center"/>
            <w:shd w:fill="102338"/>
          </w:tcPr>
          <w:p>
            <w:pPr>
              <w:spacing w:after="0"/>
            </w:pPr>
            <w:r/>
            <w:r>
              <w:rPr>
                <w:rFonts w:ascii="Aptos" w:hAnsi="Aptos"/>
                <w:b/>
                <w:color w:val="FFFFFF"/>
                <w:sz w:val="17"/>
              </w:rPr>
              <w:t>Scope</w:t>
            </w:r>
          </w:p>
        </w:tc>
        <w:tc>
          <w:tcPr>
            <w:tcW w:type="dxa" w:w="1728"/>
            <w:vAlign w:val="center"/>
            <w:shd w:fill="102338"/>
          </w:tcPr>
          <w:p>
            <w:pPr>
              <w:spacing w:after="0"/>
            </w:pPr>
            <w:r/>
            <w:r>
              <w:rPr>
                <w:rFonts w:ascii="Aptos" w:hAnsi="Aptos"/>
                <w:b/>
                <w:color w:val="FFFFFF"/>
                <w:sz w:val="17"/>
              </w:rPr>
              <w:t>Records in current file</w:t>
            </w:r>
          </w:p>
        </w:tc>
        <w:tc>
          <w:tcPr>
            <w:tcW w:type="dxa" w:w="2880"/>
            <w:vAlign w:val="center"/>
            <w:shd w:fill="102338"/>
          </w:tcPr>
          <w:p>
            <w:pPr>
              <w:spacing w:after="0"/>
            </w:pPr>
            <w:r/>
            <w:r>
              <w:rPr>
                <w:rFonts w:ascii="Aptos" w:hAnsi="Aptos"/>
                <w:b/>
                <w:color w:val="FFFFFF"/>
                <w:sz w:val="17"/>
              </w:rPr>
              <w:t>How to interpret</w:t>
            </w:r>
          </w:p>
        </w:tc>
      </w:tr>
      <w:tr>
        <w:tc>
          <w:tcPr>
            <w:tcW w:type="dxa" w:w="2952"/>
            <w:vAlign w:val="center"/>
          </w:tcPr>
          <w:p>
            <w:pPr>
              <w:spacing w:after="0"/>
            </w:pPr>
            <w:r/>
            <w:r>
              <w:rPr>
                <w:rFonts w:ascii="Aptos" w:hAnsi="Aptos"/>
                <w:b w:val="0"/>
                <w:color w:val="1B2935"/>
                <w:sz w:val="16"/>
              </w:rPr>
              <w:t>hero_meta_global_snapshot.csv</w:t>
            </w:r>
          </w:p>
        </w:tc>
        <w:tc>
          <w:tcPr>
            <w:tcW w:type="dxa" w:w="2232"/>
            <w:vAlign w:val="center"/>
          </w:tcPr>
          <w:p>
            <w:pPr>
              <w:spacing w:after="0"/>
            </w:pPr>
            <w:r/>
            <w:r>
              <w:rPr>
                <w:rFonts w:ascii="Aptos" w:hAnsi="Aptos"/>
                <w:b w:val="0"/>
                <w:color w:val="1B2935"/>
                <w:sz w:val="16"/>
              </w:rPr>
              <w:t>Global pro 20-championship sample</w:t>
            </w:r>
          </w:p>
        </w:tc>
        <w:tc>
          <w:tcPr>
            <w:tcW w:type="dxa" w:w="1728"/>
            <w:vAlign w:val="center"/>
          </w:tcPr>
          <w:p>
            <w:pPr>
              <w:spacing w:after="0"/>
            </w:pPr>
            <w:r/>
            <w:r>
              <w:rPr>
                <w:rFonts w:ascii="Aptos" w:hAnsi="Aptos"/>
                <w:b w:val="0"/>
                <w:color w:val="1B2935"/>
                <w:sz w:val="16"/>
              </w:rPr>
              <w:t>25 hero rows</w:t>
            </w:r>
          </w:p>
        </w:tc>
        <w:tc>
          <w:tcPr>
            <w:tcW w:type="dxa" w:w="2880"/>
            <w:vAlign w:val="center"/>
          </w:tcPr>
          <w:p>
            <w:pPr>
              <w:spacing w:after="0"/>
            </w:pPr>
            <w:r/>
            <w:r>
              <w:rPr>
                <w:rFonts w:ascii="Aptos" w:hAnsi="Aptos"/>
                <w:b w:val="0"/>
                <w:color w:val="1B2935"/>
                <w:sz w:val="16"/>
              </w:rPr>
              <w:t>Pick count, ban count, and reported pick-win-rate percentage.</w:t>
            </w:r>
          </w:p>
        </w:tc>
      </w:tr>
      <w:tr>
        <w:tc>
          <w:tcPr>
            <w:tcW w:type="dxa" w:w="2952"/>
            <w:vAlign w:val="center"/>
            <w:shd w:fill="F0F5F8"/>
          </w:tcPr>
          <w:p>
            <w:pPr>
              <w:spacing w:after="0"/>
            </w:pPr>
            <w:r/>
            <w:r>
              <w:rPr>
                <w:rFonts w:ascii="Aptos" w:hAnsi="Aptos"/>
                <w:b w:val="0"/>
                <w:color w:val="1B2935"/>
                <w:sz w:val="16"/>
              </w:rPr>
              <w:t>msc_2026_hero_snapshot.csv</w:t>
            </w:r>
          </w:p>
        </w:tc>
        <w:tc>
          <w:tcPr>
            <w:tcW w:type="dxa" w:w="2232"/>
            <w:vAlign w:val="center"/>
            <w:shd w:fill="F0F5F8"/>
          </w:tcPr>
          <w:p>
            <w:pPr>
              <w:spacing w:after="0"/>
            </w:pPr>
            <w:r/>
            <w:r>
              <w:rPr>
                <w:rFonts w:ascii="Aptos" w:hAnsi="Aptos"/>
                <w:b w:val="0"/>
                <w:color w:val="1B2935"/>
                <w:sz w:val="16"/>
              </w:rPr>
              <w:t>MSC 2026</w:t>
            </w:r>
          </w:p>
        </w:tc>
        <w:tc>
          <w:tcPr>
            <w:tcW w:type="dxa" w:w="1728"/>
            <w:vAlign w:val="center"/>
            <w:shd w:fill="F0F5F8"/>
          </w:tcPr>
          <w:p>
            <w:pPr>
              <w:spacing w:after="0"/>
            </w:pPr>
            <w:r/>
            <w:r>
              <w:rPr>
                <w:rFonts w:ascii="Aptos" w:hAnsi="Aptos"/>
                <w:b w:val="0"/>
                <w:color w:val="1B2935"/>
                <w:sz w:val="16"/>
              </w:rPr>
              <w:t>12 hero rows</w:t>
            </w:r>
          </w:p>
        </w:tc>
        <w:tc>
          <w:tcPr>
            <w:tcW w:type="dxa" w:w="2880"/>
            <w:vAlign w:val="center"/>
            <w:shd w:fill="F0F5F8"/>
          </w:tcPr>
          <w:p>
            <w:pPr>
              <w:spacing w:after="0"/>
            </w:pPr>
            <w:r/>
            <w:r>
              <w:rPr>
                <w:rFonts w:ascii="Aptos" w:hAnsi="Aptos"/>
                <w:b w:val="0"/>
                <w:color w:val="1B2935"/>
                <w:sz w:val="16"/>
              </w:rPr>
              <w:t>Event hero snapshot; includes picks, bans, wins/losses where captured.</w:t>
            </w:r>
          </w:p>
        </w:tc>
      </w:tr>
      <w:tr>
        <w:tc>
          <w:tcPr>
            <w:tcW w:type="dxa" w:w="2952"/>
            <w:vAlign w:val="center"/>
          </w:tcPr>
          <w:p>
            <w:pPr>
              <w:spacing w:after="0"/>
            </w:pPr>
            <w:r/>
            <w:r>
              <w:rPr>
                <w:rFonts w:ascii="Aptos" w:hAnsi="Aptos"/>
                <w:b w:val="0"/>
                <w:color w:val="1B2935"/>
                <w:sz w:val="16"/>
              </w:rPr>
              <w:t>mpl_my_s18_visible_snapshot.csv</w:t>
            </w:r>
          </w:p>
        </w:tc>
        <w:tc>
          <w:tcPr>
            <w:tcW w:type="dxa" w:w="2232"/>
            <w:vAlign w:val="center"/>
          </w:tcPr>
          <w:p>
            <w:pPr>
              <w:spacing w:after="0"/>
            </w:pPr>
            <w:r/>
            <w:r>
              <w:rPr>
                <w:rFonts w:ascii="Aptos" w:hAnsi="Aptos"/>
                <w:b w:val="0"/>
                <w:color w:val="1B2935"/>
                <w:sz w:val="16"/>
              </w:rPr>
              <w:t>MPL Malaysia S18</w:t>
            </w:r>
          </w:p>
        </w:tc>
        <w:tc>
          <w:tcPr>
            <w:tcW w:type="dxa" w:w="1728"/>
            <w:vAlign w:val="center"/>
          </w:tcPr>
          <w:p>
            <w:pPr>
              <w:spacing w:after="0"/>
            </w:pPr>
            <w:r/>
            <w:r>
              <w:rPr>
                <w:rFonts w:ascii="Aptos" w:hAnsi="Aptos"/>
                <w:b w:val="0"/>
                <w:color w:val="1B2935"/>
                <w:sz w:val="16"/>
              </w:rPr>
              <w:t>7 hero rows</w:t>
            </w:r>
          </w:p>
        </w:tc>
        <w:tc>
          <w:tcPr>
            <w:tcW w:type="dxa" w:w="2880"/>
            <w:vAlign w:val="center"/>
          </w:tcPr>
          <w:p>
            <w:pPr>
              <w:spacing w:after="0"/>
            </w:pPr>
            <w:r/>
            <w:r>
              <w:rPr>
                <w:rFonts w:ascii="Aptos" w:hAnsi="Aptos"/>
                <w:b w:val="0"/>
                <w:color w:val="1B2935"/>
                <w:sz w:val="16"/>
              </w:rPr>
              <w:t>Visible subset only; do not infer that omitted heroes had zero picks.</w:t>
            </w:r>
          </w:p>
        </w:tc>
      </w:tr>
      <w:tr>
        <w:tc>
          <w:tcPr>
            <w:tcW w:type="dxa" w:w="2952"/>
            <w:vAlign w:val="center"/>
            <w:shd w:fill="F0F5F8"/>
          </w:tcPr>
          <w:p>
            <w:pPr>
              <w:spacing w:after="0"/>
            </w:pPr>
            <w:r/>
            <w:r>
              <w:rPr>
                <w:rFonts w:ascii="Aptos" w:hAnsi="Aptos"/>
                <w:b w:val="0"/>
                <w:color w:val="1B2935"/>
                <w:sz w:val="16"/>
              </w:rPr>
              <w:t>tournament_reference_index.csv</w:t>
            </w:r>
          </w:p>
        </w:tc>
        <w:tc>
          <w:tcPr>
            <w:tcW w:type="dxa" w:w="2232"/>
            <w:vAlign w:val="center"/>
            <w:shd w:fill="F0F5F8"/>
          </w:tcPr>
          <w:p>
            <w:pPr>
              <w:spacing w:after="0"/>
            </w:pPr>
            <w:r/>
            <w:r>
              <w:rPr>
                <w:rFonts w:ascii="Aptos" w:hAnsi="Aptos"/>
                <w:b w:val="0"/>
                <w:color w:val="1B2935"/>
                <w:sz w:val="16"/>
              </w:rPr>
              <w:t>Current visible event list</w:t>
            </w:r>
          </w:p>
        </w:tc>
        <w:tc>
          <w:tcPr>
            <w:tcW w:type="dxa" w:w="1728"/>
            <w:vAlign w:val="center"/>
            <w:shd w:fill="F0F5F8"/>
          </w:tcPr>
          <w:p>
            <w:pPr>
              <w:spacing w:after="0"/>
            </w:pPr>
            <w:r/>
            <w:r>
              <w:rPr>
                <w:rFonts w:ascii="Aptos" w:hAnsi="Aptos"/>
                <w:b w:val="0"/>
                <w:color w:val="1B2935"/>
                <w:sz w:val="16"/>
              </w:rPr>
              <w:t>5 event rows</w:t>
            </w:r>
          </w:p>
        </w:tc>
        <w:tc>
          <w:tcPr>
            <w:tcW w:type="dxa" w:w="2880"/>
            <w:vAlign w:val="center"/>
            <w:shd w:fill="F0F5F8"/>
          </w:tcPr>
          <w:p>
            <w:pPr>
              <w:spacing w:after="0"/>
            </w:pPr>
            <w:r/>
            <w:r>
              <w:rPr>
                <w:rFonts w:ascii="Aptos" w:hAnsi="Aptos"/>
                <w:b w:val="0"/>
                <w:color w:val="1B2935"/>
                <w:sz w:val="16"/>
              </w:rPr>
              <w:t>Displayed game counts from index snapshot.</w:t>
            </w:r>
          </w:p>
        </w:tc>
      </w:tr>
    </w:tbl>
    <w:p>
      <w:pPr>
        <w:spacing w:after="0"/>
      </w:pPr>
    </w:p>
    <w:p>
      <w:pPr>
        <w:pStyle w:val="Heading2"/>
      </w:pPr>
      <w:r>
        <w:t>Sample observations — not a universal tier list</w:t>
      </w:r>
    </w:p>
    <w:p>
      <w:r>
        <w:t>In the captured MSC 2026 sample, Atlas showed 44 picks and 65 bans with a 65.9% win rate across its 29 wins and 15 losses; Freya showed 19 picks, 90 bans and a 73.7% win rate across 14 wins and 5 losses. Their low pick sample sizes and ban pressure matter: these values alone do not establish a universal best hero or a direct counter relation.</w:t>
      </w:r>
    </w:p>
    <w:p>
      <w:r>
        <w:t>For the visible global pro sample, Freya has 1,993 bans and 432 picks, while Zhuxin has 809 picks and 1,233 bans. These figures indicate draft presence in that sample, not necessarily a pick-rate denominator that is comparable across all tournaments.</w:t>
      </w:r>
    </w:p>
    <w:p>
      <w:pPr>
        <w:pStyle w:val="Heading1"/>
      </w:pPr>
      <w:r>
        <w:t>4. How to execute the complete collection</w:t>
      </w:r>
    </w:p>
    <w:p>
      <w:pPr>
        <w:pStyle w:val="ListNumber"/>
      </w:pPr>
      <w:r>
        <w:t>Upload the package contents, including the hidden .github/workflows folder, to a GitHub repository; open Actions and run “MLBB Full Public Data Extraction”. This can be done from a phone browser, subject to GitHub account limits.</w:t>
      </w:r>
    </w:p>
    <w:p>
      <w:pPr>
        <w:pStyle w:val="ListNumber"/>
      </w:pPr>
      <w:r>
        <w:t>Keep asset downloads enabled to capture open reference JSON and visual assets. The collector follows public links discovered from the index and respects a delay between requests.</w:t>
      </w:r>
    </w:p>
    <w:p>
      <w:pPr>
        <w:pStyle w:val="ListNumber"/>
      </w:pPr>
      <w:r>
        <w:t>Download the artifact and inspect extraction_report.json, source_fetch_log.csv, tournament_page_inventory.csv and source_archives_manifest.json.</w:t>
      </w:r>
    </w:p>
    <w:p>
      <w:pPr>
        <w:pStyle w:val="ListNumber"/>
      </w:pPr>
      <w:r>
        <w:t>Audit every region/season. Mark a season complete only when required game counts, draft coverage, source validity and duplicate checks have passed.</w:t>
      </w:r>
    </w:p>
    <w:p>
      <w:pPr>
        <w:pStyle w:val="ListNumber"/>
      </w:pPr>
      <w:r>
        <w:t>If output size is under 100 MiB, check accessible sources and logs. Do not manufacture rows or add arbitrary filler files to meet the threshold.</w:t>
      </w:r>
    </w:p>
    <w:p>
      <w:r>
        <w:br w:type="page"/>
      </w:r>
    </w:p>
    <w:p>
      <w:pPr>
        <w:pStyle w:val="Heading1"/>
      </w:pPr>
      <w:r>
        <w:t>5. Quality gates and limitations</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02338"/>
          </w:tcPr>
          <w:p>
            <w:pPr>
              <w:spacing w:after="0"/>
            </w:pPr>
            <w:r/>
            <w:r>
              <w:rPr>
                <w:rFonts w:ascii="Aptos" w:hAnsi="Aptos"/>
                <w:b/>
                <w:color w:val="FFFFFF"/>
                <w:sz w:val="17"/>
              </w:rPr>
              <w:t>Gate</w:t>
            </w:r>
          </w:p>
        </w:tc>
        <w:tc>
          <w:tcPr>
            <w:tcW w:type="dxa" w:w="8064"/>
            <w:vAlign w:val="center"/>
            <w:shd w:fill="102338"/>
          </w:tcPr>
          <w:p>
            <w:pPr>
              <w:spacing w:after="0"/>
            </w:pPr>
            <w:r/>
            <w:r>
              <w:rPr>
                <w:rFonts w:ascii="Aptos" w:hAnsi="Aptos"/>
                <w:b/>
                <w:color w:val="FFFFFF"/>
                <w:sz w:val="17"/>
              </w:rPr>
              <w:t>Must pass before calling the dataset complete</w:t>
            </w:r>
          </w:p>
        </w:tc>
      </w:tr>
      <w:tr>
        <w:tc>
          <w:tcPr>
            <w:tcW w:type="dxa" w:w="2016"/>
            <w:vAlign w:val="center"/>
          </w:tcPr>
          <w:p>
            <w:pPr>
              <w:spacing w:after="0"/>
            </w:pPr>
            <w:r/>
            <w:r>
              <w:rPr>
                <w:rFonts w:ascii="Aptos" w:hAnsi="Aptos"/>
                <w:b w:val="0"/>
                <w:color w:val="1B2935"/>
                <w:sz w:val="16"/>
              </w:rPr>
              <w:t>Coverage</w:t>
            </w:r>
          </w:p>
        </w:tc>
        <w:tc>
          <w:tcPr>
            <w:tcW w:type="dxa" w:w="8064"/>
            <w:vAlign w:val="center"/>
          </w:tcPr>
          <w:p>
            <w:pPr>
              <w:spacing w:after="0"/>
            </w:pPr>
            <w:r/>
            <w:r>
              <w:rPr>
                <w:rFonts w:ascii="Aptos" w:hAnsi="Aptos"/>
                <w:b w:val="0"/>
                <w:color w:val="1B2935"/>
                <w:sz w:val="16"/>
              </w:rPr>
              <w:t>Every intended MPL region/season, M-Series, MSC and other event is present with counts matched to a cited source.</w:t>
            </w:r>
          </w:p>
        </w:tc>
      </w:tr>
      <w:tr>
        <w:tc>
          <w:tcPr>
            <w:tcW w:type="dxa" w:w="2016"/>
            <w:vAlign w:val="center"/>
            <w:shd w:fill="F0F5F8"/>
          </w:tcPr>
          <w:p>
            <w:pPr>
              <w:spacing w:after="0"/>
            </w:pPr>
            <w:r/>
            <w:r>
              <w:rPr>
                <w:rFonts w:ascii="Aptos" w:hAnsi="Aptos"/>
                <w:b w:val="0"/>
                <w:color w:val="1B2935"/>
                <w:sz w:val="16"/>
              </w:rPr>
              <w:t>Game integrity</w:t>
            </w:r>
          </w:p>
        </w:tc>
        <w:tc>
          <w:tcPr>
            <w:tcW w:type="dxa" w:w="8064"/>
            <w:vAlign w:val="center"/>
            <w:shd w:fill="F0F5F8"/>
          </w:tcPr>
          <w:p>
            <w:pPr>
              <w:spacing w:after="0"/>
            </w:pPr>
            <w:r/>
            <w:r>
              <w:rPr>
                <w:rFonts w:ascii="Aptos" w:hAnsi="Aptos"/>
                <w:b w:val="0"/>
                <w:color w:val="1B2935"/>
                <w:sz w:val="16"/>
              </w:rPr>
              <w:t>Unique stable game IDs or robust composite keys; no duplicate game rows; winners match sourced results.</w:t>
            </w:r>
          </w:p>
        </w:tc>
      </w:tr>
      <w:tr>
        <w:tc>
          <w:tcPr>
            <w:tcW w:type="dxa" w:w="2016"/>
            <w:vAlign w:val="center"/>
          </w:tcPr>
          <w:p>
            <w:pPr>
              <w:spacing w:after="0"/>
            </w:pPr>
            <w:r/>
            <w:r>
              <w:rPr>
                <w:rFonts w:ascii="Aptos" w:hAnsi="Aptos"/>
                <w:b w:val="0"/>
                <w:color w:val="1B2935"/>
                <w:sz w:val="16"/>
              </w:rPr>
              <w:t>Draft integrity</w:t>
            </w:r>
          </w:p>
        </w:tc>
        <w:tc>
          <w:tcPr>
            <w:tcW w:type="dxa" w:w="8064"/>
            <w:vAlign w:val="center"/>
          </w:tcPr>
          <w:p>
            <w:pPr>
              <w:spacing w:after="0"/>
            </w:pPr>
            <w:r/>
            <w:r>
              <w:rPr>
                <w:rFonts w:ascii="Aptos" w:hAnsi="Aptos"/>
                <w:b w:val="0"/>
                <w:color w:val="1B2935"/>
                <w:sz w:val="16"/>
              </w:rPr>
              <w:t>10 picks per completed game, bans/order retained where source provides them; unknown values stay null.</w:t>
            </w:r>
          </w:p>
        </w:tc>
      </w:tr>
      <w:tr>
        <w:tc>
          <w:tcPr>
            <w:tcW w:type="dxa" w:w="2016"/>
            <w:vAlign w:val="center"/>
            <w:shd w:fill="F0F5F8"/>
          </w:tcPr>
          <w:p>
            <w:pPr>
              <w:spacing w:after="0"/>
            </w:pPr>
            <w:r/>
            <w:r>
              <w:rPr>
                <w:rFonts w:ascii="Aptos" w:hAnsi="Aptos"/>
                <w:b w:val="0"/>
                <w:color w:val="1B2935"/>
                <w:sz w:val="16"/>
              </w:rPr>
              <w:t>Rate calculations</w:t>
            </w:r>
          </w:p>
        </w:tc>
        <w:tc>
          <w:tcPr>
            <w:tcW w:type="dxa" w:w="8064"/>
            <w:vAlign w:val="center"/>
            <w:shd w:fill="F0F5F8"/>
          </w:tcPr>
          <w:p>
            <w:pPr>
              <w:spacing w:after="0"/>
            </w:pPr>
            <w:r/>
            <w:r>
              <w:rPr>
                <w:rFonts w:ascii="Aptos" w:hAnsi="Aptos"/>
                <w:b w:val="0"/>
                <w:color w:val="1B2935"/>
                <w:sz w:val="16"/>
              </w:rPr>
              <w:t>Wins / picks and event-game denominators clearly specified; pick win rate not confused with all-game win rate.</w:t>
            </w:r>
          </w:p>
        </w:tc>
      </w:tr>
      <w:tr>
        <w:tc>
          <w:tcPr>
            <w:tcW w:type="dxa" w:w="2016"/>
            <w:vAlign w:val="center"/>
          </w:tcPr>
          <w:p>
            <w:pPr>
              <w:spacing w:after="0"/>
            </w:pPr>
            <w:r/>
            <w:r>
              <w:rPr>
                <w:rFonts w:ascii="Aptos" w:hAnsi="Aptos"/>
                <w:b w:val="0"/>
                <w:color w:val="1B2935"/>
                <w:sz w:val="16"/>
              </w:rPr>
              <w:t>Patch/era control</w:t>
            </w:r>
          </w:p>
        </w:tc>
        <w:tc>
          <w:tcPr>
            <w:tcW w:type="dxa" w:w="8064"/>
            <w:vAlign w:val="center"/>
          </w:tcPr>
          <w:p>
            <w:pPr>
              <w:spacing w:after="0"/>
            </w:pPr>
            <w:r/>
            <w:r>
              <w:rPr>
                <w:rFonts w:ascii="Aptos" w:hAnsi="Aptos"/>
                <w:b w:val="0"/>
                <w:color w:val="1B2935"/>
                <w:sz w:val="16"/>
              </w:rPr>
              <w:t>Patch, season and event dates tracked; comparisons across patch changes are labelled.</w:t>
            </w:r>
          </w:p>
        </w:tc>
      </w:tr>
      <w:tr>
        <w:tc>
          <w:tcPr>
            <w:tcW w:type="dxa" w:w="2016"/>
            <w:vAlign w:val="center"/>
            <w:shd w:fill="F0F5F8"/>
          </w:tcPr>
          <w:p>
            <w:pPr>
              <w:spacing w:after="0"/>
            </w:pPr>
            <w:r/>
            <w:r>
              <w:rPr>
                <w:rFonts w:ascii="Aptos" w:hAnsi="Aptos"/>
                <w:b w:val="0"/>
                <w:color w:val="1B2935"/>
                <w:sz w:val="16"/>
              </w:rPr>
              <w:t>Provenance</w:t>
            </w:r>
          </w:p>
        </w:tc>
        <w:tc>
          <w:tcPr>
            <w:tcW w:type="dxa" w:w="8064"/>
            <w:vAlign w:val="center"/>
            <w:shd w:fill="F0F5F8"/>
          </w:tcPr>
          <w:p>
            <w:pPr>
              <w:spacing w:after="0"/>
            </w:pPr>
            <w:r/>
            <w:r>
              <w:rPr>
                <w:rFonts w:ascii="Aptos" w:hAnsi="Aptos"/>
                <w:b w:val="0"/>
                <w:color w:val="1B2935"/>
                <w:sz w:val="16"/>
              </w:rPr>
              <w:t>Every data table has a source URL, retrieval timestamp and collection log. License requirements are reviewed.</w:t>
            </w:r>
          </w:p>
        </w:tc>
      </w:tr>
      <w:tr>
        <w:tc>
          <w:tcPr>
            <w:tcW w:type="dxa" w:w="2016"/>
            <w:vAlign w:val="center"/>
          </w:tcPr>
          <w:p>
            <w:pPr>
              <w:spacing w:after="0"/>
            </w:pPr>
            <w:r/>
            <w:r>
              <w:rPr>
                <w:rFonts w:ascii="Aptos" w:hAnsi="Aptos"/>
                <w:b w:val="0"/>
                <w:color w:val="1B2935"/>
                <w:sz w:val="16"/>
              </w:rPr>
              <w:t>Size threshold</w:t>
            </w:r>
          </w:p>
        </w:tc>
        <w:tc>
          <w:tcPr>
            <w:tcW w:type="dxa" w:w="8064"/>
            <w:vAlign w:val="center"/>
          </w:tcPr>
          <w:p>
            <w:pPr>
              <w:spacing w:after="0"/>
            </w:pPr>
            <w:r/>
            <w:r>
              <w:rPr>
                <w:rFonts w:ascii="Aptos" w:hAnsi="Aptos"/>
                <w:b w:val="0"/>
                <w:color w:val="1B2935"/>
                <w:sz w:val="16"/>
              </w:rPr>
              <w:t>Actual measured extracted output exceeds 100 MiB; no padding, duplicate copies or synthetic records.</w:t>
            </w:r>
          </w:p>
        </w:tc>
      </w:tr>
    </w:tbl>
    <w:p>
      <w:pPr>
        <w:spacing w:after="0"/>
      </w:pPr>
    </w:p>
    <w:p>
      <w:pPr>
        <w:pStyle w:val="Heading1"/>
      </w:pPr>
      <w:r>
        <w:t>6. References and license notes</w:t>
      </w:r>
    </w:p>
    <w:p>
      <w:pPr>
        <w:pStyle w:val="ListBullet"/>
      </w:pPr>
      <w:r>
        <w:t>MLBBDex esports index — https://mlbbdex.com/en/esports (accessed 22 October 2026).</w:t>
      </w:r>
    </w:p>
    <w:p>
      <w:pPr>
        <w:pStyle w:val="ListBullet"/>
      </w:pPr>
      <w:r>
        <w:t>MLBBDex MSC 2026 — https://mlbbdex.com/en/esports/msc-2026.</w:t>
      </w:r>
    </w:p>
    <w:p>
      <w:pPr>
        <w:pStyle w:val="ListBullet"/>
      </w:pPr>
      <w:r>
        <w:t>MLBB Analytics — https://www.mlbbanalytics.com/heroes and https://www.mlbbanalytics.com/esports.</w:t>
      </w:r>
    </w:p>
    <w:p>
      <w:pPr>
        <w:pStyle w:val="ListBullet"/>
      </w:pPr>
      <w:r>
        <w:t>MLBBHub MPL MY hero stats — https://mlbbhub.com/mpl/my/stats.</w:t>
      </w:r>
    </w:p>
    <w:p>
      <w:pPr>
        <w:pStyle w:val="ListBullet"/>
      </w:pPr>
      <w:r>
        <w:t>Liquipedia Statistics Portal — https://liquipedia.net/mobilelegends/Portal:Statistics.</w:t>
      </w:r>
    </w:p>
    <w:p>
      <w:pPr>
        <w:pStyle w:val="ListBullet"/>
      </w:pPr>
      <w:r>
        <w:t>LiTianYeoh tournament analysis — https://github.com/LiTianYeoh/MLBB_Tournament_Analysis (README documents consolidated file dated 2024-05-05).</w:t>
      </w:r>
    </w:p>
    <w:p>
      <w:pPr>
        <w:pStyle w:val="ListBullet"/>
      </w:pPr>
      <w:r>
        <w:t>Ceplin03 MLBB data and assets — https://github.com/Ceplin03/database-mlbb.Mobile-Legends-Bang-Bang (repository README states MIT; inspect each license/asset before redistribution).</w:t>
      </w:r>
    </w:p>
    <w:p>
      <w:pPr>
        <w:spacing w:before="160"/>
      </w:pPr>
      <w:r>
        <w:rPr>
          <w:b/>
          <w:color w:val="B45025"/>
        </w:rPr>
        <w:t>Final status: V3 collection workflow prepared; exhaustive network collection and 100 MiB output are pending a successful run in an internet-enabled environment.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775"/>
        <w:sz w:val="14"/>
      </w:rPr>
      <w:t>Research build • 22 October 2026 • Validate source coverage before production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66775"/>
        <w:sz w:val="14"/>
      </w:rPr>
      <w:t>MLBB META &amp; COUNTER INTELLIGENCE  /  V3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29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6E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23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6E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