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【会議名】次世代クラウド基盤刷新プロジェクト 戦略会議</w:t>
      </w:r>
    </w:p>
    <w:p>
      <w:r>
        <w:t>【日時】2026年2月3日 13:00-15:00</w:t>
      </w:r>
    </w:p>
    <w:p>
      <w:r>
        <w:t>【参加者】加藤(PM)、佐藤(技術統括)、鈴木(アーキテクト)、山本(運用)、田中(営業)、大森(セキュリティ)、松井(サポート)、青木(マーケ)</w:t>
      </w:r>
    </w:p>
    <w:p/>
    <w:p>
      <w:r>
        <w:t>---</w:t>
      </w:r>
    </w:p>
    <w:p>
      <w:r>
        <w:t>【会話ログ】</w:t>
      </w:r>
    </w:p>
    <w:p>
      <w:r>
        <w:t>加藤(PM): 本日は次世代クラウド基盤の刷新企画について、技術・運用・セキュリティ・営業の観点から総合的に議論したいと思います。特に、性能要件、移行スケジュール、顧客向けの影響範囲、そして追加コストの見積もりが重要な論点となります。</w:t>
      </w:r>
    </w:p>
    <w:p/>
    <w:p>
      <w:r>
        <w:t>佐藤(技術統括): まず最新の検討結果ですが、我々が候補としている新基盤は現在の環境と比較して約30%の性能向上が見込めます。ただし、一部の既存サービスで互換性検証が必要で、特に旧APIを利用している顧客向けには追加対応が必要です。</w:t>
      </w:r>
    </w:p>
    <w:p/>
    <w:p>
      <w:r>
        <w:t>鈴木(アーキテクト): 互換性の問題について補足します。旧API群のうち約20%が新基盤上で非推奨となっており、ラッパーを介して動作させるか、または顧客側のコード変更を促す必要があります。ラッパー方式は短期的には有効ですが、中長期の保守性を考えると推奨できません。</w:t>
      </w:r>
    </w:p>
    <w:p/>
    <w:p>
      <w:r>
        <w:t>田中(営業): 顧客に負担をかける形になると、スケジュール調整や追加工数の懸念が出ます。特に大規模顧客は変更に慎重で、移行作業を伴うアップデートには数ヶ月の準備期間を求められます。営業としては早めに移行計画の大枠を提示したいところです。</w:t>
      </w:r>
    </w:p>
    <w:p/>
    <w:p>
      <w:r>
        <w:t>加藤(PM): そのためにも、互換性問題の範囲を早急に明確化し、顧客への影響を分類する必要がありますね。「顧客側作業なし」「軽微な変更」「大きな変更」の3段階で分類した資料を作成しましょう。</w:t>
      </w:r>
    </w:p>
    <w:p/>
    <w:p>
      <w:r>
        <w:t>山本(運用): 運用面からは、監視システムの刷新も必要です。現在の監視基盤では新基盤のメトリクス形式に対応しておらず、ダッシュボードやアラートルールの大幅な更新が必要になります。これにより、一時的に運用チームの負荷が増加します。</w:t>
      </w:r>
    </w:p>
    <w:p/>
    <w:p>
      <w:r>
        <w:t>大森(セキュリティ): セキュリティ面では、新基盤はゼロトラストモデルに対応していることが大きな利点です。ただし、既存の認証基盤との連携が複雑で、移行期には認証フローの二重管理が必要となります。また、新しい脅威モデルに基づく監査項目の追加も検討しています。</w:t>
      </w:r>
    </w:p>
    <w:p/>
    <w:p>
      <w:r>
        <w:t>松井(サポート): サポート面では、顧客からの問い合わせ件数が移行開始直後に増加することが予想されます。FAQ更新、一次切り分けフローの追加、サポートマニュアルの改定など、事前準備を整えることで問い合わせ増加に対応できるようにします。</w:t>
      </w:r>
    </w:p>
    <w:p/>
    <w:p>
      <w:r>
        <w:t>青木(マーケ): マーケティング観点として、新基盤への刷新は大きなプロモーション要素になります。性能改善、セキュリティ強化、可用性向上の3つを軸に訴求できますが、一方で移行作業が必要である点は慎重に伝える必要があります。誤解を生まない表現を検討したいです。</w:t>
      </w:r>
    </w:p>
    <w:p/>
    <w:p>
      <w:r>
        <w:t>加藤(PM): ありがとうございます。次にスケジュール案ですが、現時点での推奨案は以下です。「2026年4月 技術ベータ」「2026年6月 顧客向けアナウンス」「2026年9月 移行開始」「2027年3月 旧基盤終了」。ただし、互換性検証が長引いた場合、ベータの開始時期が遅れる可能性があります。</w:t>
      </w:r>
    </w:p>
    <w:p/>
    <w:p>
      <w:r>
        <w:t>佐藤(技術統括): ベータ開始には、性能テストの完了、API互換性検証、運用監視システムの暫定対応が必須です。これらのうち性能テストは順調ですが、API互換性は顧客の利用状況により大きく変動します。営業部門との連携が必須です。</w:t>
      </w:r>
    </w:p>
    <w:p/>
    <w:p>
      <w:r>
        <w:t>田中(営業): 顧客別のAPI利用状況は既に分析を進めていますが、特に大規模顧客5社は旧API比率が高く、早期に説明し調整に入る必要があります。営業としても、移行メリットを明確にした資料があれば交渉が進めやすいです。</w:t>
      </w:r>
    </w:p>
    <w:p/>
    <w:p>
      <w:r>
        <w:t>加藤(PM): その資料については企画とマーケの共同作成とします。顧客向けには「移行による価値」と「必要作業の範囲」を明確にし、内部向けには「リスク」「工数予測」を整理した形で作成しましょう。</w:t>
      </w:r>
    </w:p>
    <w:p/>
    <w:p>
      <w:r>
        <w:t>山本(運用): もう一点、運用チームとして懸念があるのは、新基盤への切り替え期間中の二重運用です。監視、障害対応、リリース管理、全てが両環境で発生するため負荷が倍増します。期間が半年以上続くとチームへの負担が大き過ぎます。</w:t>
      </w:r>
    </w:p>
    <w:p/>
    <w:p>
      <w:r>
        <w:t>鈴木(アーキテクト): 二重運用期間を短縮するためには、旧システム側のリードタイムを極力減らす必要があります。具体的には、旧基盤のリリース頻度を月1→隔月に変更する案があります。ただし顧客側要望が多い場合は調整が必要です。</w:t>
      </w:r>
    </w:p>
    <w:p/>
    <w:p>
      <w:r>
        <w:t>大森(セキュリティ): セキュリティ監査も両環境で行う必要が出てくるため、監査チームへの負担も増えます。監査項目の簡略化や、リスクベースアプローチで優先順位をつける対応も検討したいところです。</w:t>
      </w:r>
    </w:p>
    <w:p/>
    <w:p>
      <w:r>
        <w:t>青木(マーケ): 外部への発信タイミングも重要です。競合2社が2026年夏に新サービスを発表する動きがあるため、アナウンスが遅れると市場の注目を奪われる可能性があります。ギリギリでも6月中の発表は維持したいです。</w:t>
      </w:r>
    </w:p>
    <w:p/>
    <w:p>
      <w:r>
        <w:t>加藤(PM): 全体として、技術・運用・営業・セキュリティ・マーケ全てに負荷が発生しますが、部門横断プロジェクトとして連携して前に進めましょう。次回会議ではリスク整理とロードマップ修正版を提示します。</w:t>
      </w:r>
    </w:p>
    <w:p/>
    <w:p>
      <w:r>
        <w:t>全員: よろしくお願いします。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EB842EDE663554592ACAE27A7E26619" ma:contentTypeVersion="17" ma:contentTypeDescription="新しいドキュメントを作成します。" ma:contentTypeScope="" ma:versionID="16747dd24529eeafe37e55189e22f718">
  <xsd:schema xmlns:xsd="http://www.w3.org/2001/XMLSchema" xmlns:xs="http://www.w3.org/2001/XMLSchema" xmlns:p="http://schemas.microsoft.com/office/2006/metadata/properties" xmlns:ns2="4dc7eaff-9cc3-4c93-8179-c2dde48322dd" xmlns:ns3="64b45ec4-2e29-4bf6-8c65-02a0a27b7616" targetNamespace="http://schemas.microsoft.com/office/2006/metadata/properties" ma:root="true" ma:fieldsID="7cbc8658c59981c65856985325ace6ba" ns2:_="" ns3:_="">
    <xsd:import namespace="4dc7eaff-9cc3-4c93-8179-c2dde48322dd"/>
    <xsd:import namespace="64b45ec4-2e29-4bf6-8c65-02a0a27b761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element ref="ns2:_x6ce8__x610f__x4e8b__x9805_"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7eaff-9cc3-4c93-8179-c2dde48322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x6ce8__x610f__x4e8b__x9805_" ma:index="22" nillable="true" ma:displayName="注意事項" ma:format="Dropdown" ma:internalName="_x6ce8__x610f__x4e8b__x9805_">
      <xsd:simpleType>
        <xsd:restriction base="dms:Text">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b45ec4-2e29-4bf6-8c65-02a0a27b761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f3b25dd-ef32-431d-b66c-336b0f39013d}" ma:internalName="TaxCatchAll" ma:showField="CatchAllData" ma:web="64b45ec4-2e29-4bf6-8c65-02a0a27b761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6ce8__x610f__x4e8b__x9805_ xmlns="4dc7eaff-9cc3-4c93-8179-c2dde48322dd" xsi:nil="true"/>
    <TaxCatchAll xmlns="64b45ec4-2e29-4bf6-8c65-02a0a27b7616" xsi:nil="true"/>
    <lcf76f155ced4ddcb4097134ff3c332f xmlns="4dc7eaff-9cc3-4c93-8179-c2dde48322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5EA381D-7336-454E-809F-D65F8A7A6F1E}"/>
</file>

<file path=customXml/itemProps3.xml><?xml version="1.0" encoding="utf-8"?>
<ds:datastoreItem xmlns:ds="http://schemas.openxmlformats.org/officeDocument/2006/customXml" ds:itemID="{7CCCA717-F388-4224-9BFF-0D0F8DAFC009}"/>
</file>

<file path=customXml/itemProps4.xml><?xml version="1.0" encoding="utf-8"?>
<ds:datastoreItem xmlns:ds="http://schemas.openxmlformats.org/officeDocument/2006/customXml" ds:itemID="{93697CF4-B245-4335-ACD8-B1D092B44B4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0x0101006EB842EDE663554592ACAE27A7E26619</vt:lpwstr>
  </property>
</Properties>
</file>