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1.2（2026年8月28日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('initial_register','otp_request','otp_verify','password_reset')</w:t>
            </w:r>
          </w:p>
        </w:tc>
        <w:tc>
          <w:tcPr>
            <w:tcW w:type="dxa" w:w="2160"/>
          </w:tcPr>
          <w:p>
            <w:r>
              <w:t>対象経路</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bl>
    <w:p>
      <w:r>
        <w:t>上表以外の合意必須事項（AIジョブログの保持、ローカルLLMモデル選定、couple向けFAQ一次回答の採用可否、venue_knowledge の投入担当）は Phase 3／Phase 3拡張の着手前が期限であり、Phase 1 の着手判断には影響しない。表13-1 の既定値のまま進行し、Phase 3 着手前に本節へ追記する。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