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480"/>
              <w:left w:type="dxa" w:w="480"/>
              <w:bottom w:type="dxa" w:w="480"/>
              <w:right w:type="dxa" w:w="480"/>
            </w:tcMar>
          </w:tcPr>
          <w:p>
            <w:pPr>
              <w:jc w:val="center"/>
            </w:pPr>
            <w:r>
              <w:rPr>
                <w:rFonts w:ascii="Arial" w:cs="Arial" w:eastAsia="Arial" w:hAnsi="Arial"/>
                <w:b/>
                <w:bCs/>
                <w:color w:val="FFFFFF"/>
                <w:sz w:val="64"/>
                <w:szCs w:val="64"/>
              </w:rPr>
              <w:t xml:space="preserve">PROJECT NINJA</w:t>
            </w:r>
          </w:p>
          <w:p>
            <w:pPr>
              <w:jc w:val="center"/>
            </w:pPr>
            <w:r>
              <w:rPr>
                <w:rFonts w:ascii="Arial" w:cs="Arial" w:eastAsia="Arial" w:hAnsi="Arial"/>
                <w:color w:val="FFFFFF"/>
                <w:sz w:val="20"/>
                <w:szCs w:val="20"/>
              </w:rPr>
              <w:t xml:space="preserve"/>
            </w:r>
          </w:p>
          <w:p>
            <w:pPr>
              <w:jc w:val="center"/>
            </w:pPr>
            <w:r>
              <w:rPr>
                <w:rFonts w:ascii="Arial" w:cs="Arial" w:eastAsia="Arial" w:hAnsi="Arial"/>
                <w:b w:val="false"/>
                <w:bCs w:val="false"/>
                <w:color w:val="A8C8F0"/>
                <w:sz w:val="36"/>
                <w:szCs w:val="36"/>
              </w:rPr>
              <w:t xml:space="preserve">Agentic AI Ninja Command Center</w:t>
            </w:r>
          </w:p>
          <w:p>
            <w:pPr>
              <w:jc w:val="center"/>
            </w:pPr>
            <w:r>
              <w:rPr>
                <w:rFonts w:ascii="Arial" w:cs="Arial" w:eastAsia="Arial" w:hAnsi="Arial"/>
                <w:i/>
                <w:iCs/>
                <w:color w:val="C8D8F0"/>
                <w:sz w:val="24"/>
                <w:szCs w:val="24"/>
              </w:rPr>
              <w:t xml:space="preserve">AI-Powered Operational Incident Prediction &amp; Intelligent Response Platform</w:t>
            </w:r>
          </w:p>
          <w:p>
            <w:pPr>
              <w:jc w:val="center"/>
            </w:pPr>
            <w:r>
              <w:rPr>
                <w:rFonts w:ascii="Arial" w:cs="Arial" w:eastAsia="Arial" w:hAnsi="Arial"/>
                <w:sz w:val="20"/>
                <w:szCs w:val="20"/>
              </w:rPr>
              <w:t xml:space="preserve"/>
            </w:r>
          </w:p>
          <w:p>
            <w:pPr>
              <w:jc w:val="center"/>
            </w:pPr>
            <w:r>
              <w:rPr>
                <w:rFonts w:ascii="Arial" w:cs="Arial" w:eastAsia="Arial" w:hAnsi="Arial"/>
                <w:color w:val="FEF3DC"/>
                <w:sz w:val="22"/>
                <w:szCs w:val="22"/>
              </w:rPr>
              <w:t xml:space="preserve">Capstone Data Science Project  |  Version 1.0</w:t>
            </w:r>
          </w:p>
          <w:p>
            <w:pPr>
              <w:jc w:val="center"/>
            </w:pPr>
            <w:r>
              <w:rPr>
                <w:rFonts w:ascii="Arial" w:cs="Arial" w:eastAsia="Arial" w:hAnsi="Arial"/>
                <w:color w:val="D0DCF0"/>
                <w:sz w:val="20"/>
                <w:szCs w:val="20"/>
              </w:rPr>
              <w:t xml:space="preserve">Enterprise IT Service Desk Automation  |  90% AI Autonomous Resolution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1E4D8C"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Snowflake Cortex AI</w:t>
            </w:r>
          </w:p>
        </w:tc>
        <w:tc>
          <w:tcPr>
            <w:tcW w:type="dxa" w:w="2340"/>
            <w:tcBorders>
              <w:top w:val="none"/>
              <w:left w:val="none"/>
              <w:bottom w:val="none"/>
              <w:right w:val="none"/>
            </w:tcBorders>
            <w:shd w:fill="C8820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LangGraph Orchestration</w:t>
            </w:r>
          </w:p>
        </w:tc>
        <w:tc>
          <w:tcPr>
            <w:tcW w:type="dxa" w:w="2340"/>
            <w:tcBorders>
              <w:top w:val="none"/>
              <w:left w:val="none"/>
              <w:bottom w:val="none"/>
              <w:right w:val="none"/>
            </w:tcBorders>
            <w:shd w:fill="2563A8" w:val="clear"/>
            <w:tcMar>
              <w:top w:type="dxa" w:w="60"/>
              <w:left w:type="dxa" w:w="80"/>
              <w:bottom w:type="dxa" w:w="60"/>
              <w:right w:type="dxa" w:w="80"/>
            </w:tcMar>
          </w:tcPr>
          <w:p>
            <w:pPr>
              <w:jc w:val="center"/>
            </w:pPr>
            <w:r>
              <w:rPr>
                <w:rFonts w:ascii="Arial" w:cs="Arial" w:eastAsia="Arial" w:hAnsi="Arial"/>
                <w:b/>
                <w:bCs/>
                <w:color w:val="FFFFFF"/>
                <w:sz w:val="16"/>
                <w:szCs w:val="16"/>
              </w:rPr>
              <w:t xml:space="preserve">GPT-4o + Claude 3.5</w:t>
            </w:r>
          </w:p>
        </w:tc>
        <w:tc>
          <w:tcPr>
            <w:tcW w:type="dxa" w:w="2340"/>
            <w:tcBorders>
              <w:top w:val="none"/>
              <w:left w:val="none"/>
              <w:bottom w:val="none"/>
              <w:right w:val="none"/>
            </w:tcBorders>
            <w:shd w:fill="1B6B4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90%+ Auto-Resolution</w:t>
            </w:r>
          </w:p>
        </w:tc>
      </w:tr>
    </w:tbl>
    <w:p>
      <w:r>
        <w:t xml:space="preserve"/>
      </w:r>
    </w:p>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 Executive Summary</w:t>
      </w:r>
    </w:p>
    <w:p>
      <w:pPr>
        <w:spacing w:after="60" w:before="60"/>
        <w:jc w:val="left"/>
      </w:pPr>
      <w:r>
        <w:rPr>
          <w:rFonts w:ascii="Arial" w:cs="Arial" w:eastAsia="Arial" w:hAnsi="Arial"/>
          <w:b w:val="false"/>
          <w:bCs w:val="false"/>
          <w:i w:val="false"/>
          <w:iCs w:val="false"/>
          <w:color w:val="1A1A2E"/>
          <w:sz w:val="18"/>
          <w:szCs w:val="18"/>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LangGraph, grounded by Snowflake Cortex AI as the Knowledge Data Warehouse, and reasoned by a multi-LLM ensemble (Microsoft CoPilot / GPT-4o as primary, Anthropic Claude 3.5 Sonnet as secondary, Snowflake Arctic for domain-specific retrieval).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Baseline (Human)</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(v1.0)</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(v2.0)</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Ticket Auto-Resolution</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~15%</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90%</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95–97%</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Mean Time to Resolve (MTTR)</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4.2 hrs avg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&lt; 1.3 hrs</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&lt; 0.8 hrs</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Operational Cost Saving</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25–30%</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35–42%</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SLA Compliance Rate</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~72%</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93%+</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97%+</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FFFF" w:sz="1"/>
              <w:left w:val="single" w:color="FFFFFF" w:sz="1"/>
              <w:bottom w:val="single" w:color="FFFFFF" w:sz="1"/>
              <w:right w:val="single" w:color="FFFFFF" w:sz="1"/>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DATASET</w:t>
            </w:r>
          </w:p>
        </w:tc>
        <w:tc>
          <w:tcPr>
            <w:tcW w:type="dxa" w:w="7960"/>
            <w:tcBorders>
              <w:top w:val="single" w:color="FFFFFF" w:sz="1"/>
              <w:left w:val="single" w:color="FFFFFF" w:sz="1"/>
              <w:bottom w:val="single" w:color="FFFFFF" w:sz="1"/>
              <w:right w:val="single" w:color="FFFFFF" w:sz="1"/>
            </w:tcBorders>
            <w:shd w:fill="D6E4F7" w:val="clear"/>
            <w:tcMar>
              <w:top w:type="dxa" w:w="80"/>
              <w:left w:type="dxa" w:w="160"/>
              <w:bottom w:type="dxa" w:w="80"/>
              <w:right w:type="dxa" w:w="120"/>
            </w:tcMar>
          </w:tcPr>
          <w:p>
            <w:r>
              <w:rPr>
                <w:rFonts w:ascii="Arial" w:cs="Arial" w:eastAsia="Arial" w:hAnsi="Arial"/>
                <w:color w:val="1A1A2E"/>
                <w:sz w:val="18"/>
                <w:szCs w:val="18"/>
              </w:rPr>
              <w:t xml:space="preserve">Primary training corpus: 29,651 labelled IT support tickets (uploaded CSV — Body, Department, Priority, Tags). Augmented by Kaggle 'Process Mining Event Log — Incident Management' (31,000+ tickets, 242,000+ events) and UCI/Kaggle ITSM dataset (ServiceNow-format, 141,712 records). Both validated; no synthetic or hallucinated data introduced.</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2. Problem Statement</w:t>
      </w:r>
    </w:p>
    <w:p>
      <w:pPr>
        <w:spacing w:after="60" w:before="60"/>
        <w:jc w:val="left"/>
      </w:pPr>
      <w:r>
        <w:rPr>
          <w:rFonts w:ascii="Arial" w:cs="Arial" w:eastAsia="Arial" w:hAnsi="Arial"/>
          <w:b w:val="false"/>
          <w:bCs w:val="false"/>
          <w:i w:val="false"/>
          <w:iCs w:val="false"/>
          <w:color w:val="1A1A2E"/>
          <w:sz w:val="18"/>
          <w:szCs w:val="18"/>
        </w:rPr>
        <w:t xml:space="preserve">Following a corporate acquisition merging two enterprise IT estates (~140,000 combined users), the CTO inherited a fragmented monitoring landscape: ServiceNow, Datadog, Dynatrace, and proprietary CMDB dashboards operating in silos. The result is three compounding pain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Pain Point</w:t>
            </w:r>
          </w:p>
        </w:tc>
        <w:tc>
          <w:tcPr>
            <w:tcW w:type="dxa" w:w="3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Observed Impact</w:t>
            </w:r>
          </w:p>
        </w:tc>
        <w:tc>
          <w:tcPr>
            <w:tcW w:type="dxa" w:w="3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Quantified Cost</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Alert fatigue — 6 overlapping tools</w:t>
            </w:r>
          </w:p>
        </w:tc>
        <w:tc>
          <w:tcPr>
            <w:tcW w:type="dxa" w:w="3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Engineers ignoring 40% of alerts</w:t>
            </w:r>
          </w:p>
        </w:tc>
        <w:tc>
          <w:tcPr>
            <w:tcW w:type="dxa" w:w="3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~$380K/yr engineering waste</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Manual Tier-1 triage (L1/L2)</w:t>
            </w:r>
          </w:p>
        </w:tc>
        <w:tc>
          <w:tcPr>
            <w:tcW w:type="dxa" w:w="3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4.2 hr avg MTTR; 18% SLA breach</w:t>
            </w:r>
          </w:p>
        </w:tc>
        <w:tc>
          <w:tcPr>
            <w:tcW w:type="dxa" w:w="3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~$210K/yr SLA penalties</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Siloed knowledge — no single source</w:t>
            </w:r>
          </w:p>
        </w:tc>
        <w:tc>
          <w:tcPr>
            <w:tcW w:type="dxa" w:w="3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Repeated incidents, 34% recurrence</w:t>
            </w:r>
          </w:p>
        </w:tc>
        <w:tc>
          <w:tcPr>
            <w:tcW w:type="dxa" w:w="3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~$160K/yr rework cost</w:t>
            </w:r>
          </w:p>
        </w:tc>
      </w:tr>
    </w:tbl>
    <w:p>
      <w:r>
        <w:t xml:space="preserve"/>
      </w:r>
    </w:p>
    <w:p>
      <w:pPr>
        <w:spacing w:after="60" w:before="60"/>
        <w:jc w:val="left"/>
      </w:pPr>
      <w:r>
        <w:rPr>
          <w:rFonts w:ascii="Arial" w:cs="Arial" w:eastAsia="Arial" w:hAnsi="Arial"/>
          <w:b w:val="false"/>
          <w:bCs w:val="false"/>
          <w:i w:val="false"/>
          <w:iCs w:val="false"/>
          <w:color w:val="1A1A2E"/>
          <w:sz w:val="18"/>
          <w:szCs w:val="18"/>
        </w:rPr>
        <w:t xml:space="preserve">The organisation needs a self-sustaining Agentic AI layer that unifies telemetry, predicts incidents before user impact, resolves autonomously at 90%+ confidence, and escalates the remaining ambiguous 10% to human engineers with full context.</w:t>
      </w:r>
    </w:p>
    <w:p>
      <w:r>
        <w:t xml:space="preserve"/>
      </w:r>
    </w:p>
    <w:p>
      <w:pPr>
        <w:pStyle w:val="Heading2"/>
        <w:spacing w:after="100" w:before="220"/>
      </w:pPr>
      <w:r>
        <w:rPr>
          <w:rFonts w:ascii="Arial" w:cs="Arial" w:eastAsia="Arial" w:hAnsi="Arial"/>
          <w:b/>
          <w:bCs/>
          <w:color w:val="2563A8"/>
          <w:sz w:val="26"/>
          <w:szCs w:val="26"/>
        </w:rPr>
        <w:t xml:space="preserve">2.1 Dataset Validation &amp; Alignment</w:t>
      </w:r>
    </w:p>
    <w:p>
      <w:pPr>
        <w:spacing w:after="60" w:before="60"/>
        <w:jc w:val="left"/>
      </w:pPr>
      <w:r>
        <w:rPr>
          <w:rFonts w:ascii="Arial" w:cs="Arial" w:eastAsia="Arial" w:hAnsi="Arial"/>
          <w:b w:val="false"/>
          <w:bCs w:val="false"/>
          <w:i w:val="false"/>
          <w:iCs w:val="false"/>
          <w:color w:val="1A1A2E"/>
          <w:sz w:val="18"/>
          <w:szCs w:val="18"/>
        </w:rPr>
        <w:t xml:space="preserve">Three verified, publicly available datasets underpin model training. No proprietary production data is used in initial model development; only open-source data compliant with enterprise NDA obligations: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760"/>
        <w:gridCol w:w="2800"/>
      </w:tblGrid>
      <w:tr>
        <w:tc>
          <w:tcPr>
            <w:tcW w:type="dxa" w:w="25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3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 / Link</w:t>
            </w:r>
          </w:p>
        </w:tc>
        <w:tc>
          <w:tcPr>
            <w:tcW w:type="dxa" w:w="176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Records</w:t>
            </w:r>
          </w:p>
        </w:tc>
        <w:tc>
          <w:tcPr>
            <w:tcW w:type="dxa" w:w="28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Relevance</w:t>
            </w:r>
          </w:p>
        </w:tc>
      </w:tr>
      <w:tr>
        <w:tc>
          <w:tcPr>
            <w:tcW w:type="dxa" w:w="25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IT Support Ticket Corpus (uploaded CSV)</w:t>
            </w:r>
          </w:p>
        </w:tc>
        <w:tc>
          <w:tcPr>
            <w:tcW w:type="dxa" w:w="23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Client-provided anonymised export</w:t>
            </w:r>
          </w:p>
        </w:tc>
        <w:tc>
          <w:tcPr>
            <w:tcW w:type="dxa" w:w="17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29,651 tickets</w:t>
            </w:r>
          </w:p>
        </w:tc>
        <w:tc>
          <w:tcPr>
            <w:tcW w:type="dxa" w:w="28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Priority, dept, tags — direct NLP training</w:t>
            </w:r>
          </w:p>
        </w:tc>
      </w:tr>
      <w:tr>
        <w:tc>
          <w:tcPr>
            <w:tcW w:type="dxa" w:w="25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Process Mining Event Log — Incident Mgmt</w:t>
            </w:r>
          </w:p>
        </w:tc>
        <w:tc>
          <w:tcPr>
            <w:tcW w:type="dxa" w:w="23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hyperlink w:history="1" r:id="rIdw9vt2eic-ivwdas0palrg">
              <w:r>
                <w:rPr>
                  <w:rStyle w:val="Hyperlink"/>
                  <w:rFonts w:ascii="Arial" w:cs="Arial" w:eastAsia="Arial" w:hAnsi="Arial"/>
                  <w:color w:val="2563A8"/>
                  <w:sz w:val="18"/>
                  <w:szCs w:val="18"/>
                </w:rPr>
                <w:t xml:space="preserve">Kaggle — albertopmd</w:t>
              </w:r>
            </w:hyperlink>
          </w:p>
        </w:tc>
        <w:tc>
          <w:tcPr>
            <w:tcW w:type="dxa" w:w="176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242,000+ events / 31,000+ incidents</w:t>
            </w:r>
          </w:p>
        </w:tc>
        <w:tc>
          <w:tcPr>
            <w:tcW w:type="dxa" w:w="28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SLA breach simulation, bottleneck detection</w:t>
            </w:r>
          </w:p>
        </w:tc>
      </w:tr>
      <w:tr>
        <w:tc>
          <w:tcPr>
            <w:tcW w:type="dxa" w:w="25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UCI ITSM / ServiceNow Incident Log</w:t>
            </w:r>
          </w:p>
        </w:tc>
        <w:tc>
          <w:tcPr>
            <w:tcW w:type="dxa" w:w="230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yyyytl2dcttihvayzebqe">
              <w:r>
                <w:rPr>
                  <w:rStyle w:val="Hyperlink"/>
                  <w:rFonts w:ascii="Arial" w:cs="Arial" w:eastAsia="Arial" w:hAnsi="Arial"/>
                  <w:color w:val="2563A8"/>
                  <w:sz w:val="18"/>
                  <w:szCs w:val="18"/>
                </w:rPr>
                <w:t xml:space="preserve">Kaggle — vipulshinde</w:t>
              </w:r>
            </w:hyperlink>
          </w:p>
        </w:tc>
        <w:tc>
          <w:tcPr>
            <w:tcW w:type="dxa" w:w="17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141,712 rows</w:t>
            </w:r>
          </w:p>
        </w:tc>
        <w:tc>
          <w:tcPr>
            <w:tcW w:type="dxa" w:w="28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Resolution path, assignee group, priority</w:t>
            </w:r>
          </w:p>
        </w:tc>
      </w:tr>
      <w:tr>
        <w:tc>
          <w:tcPr>
            <w:tcW w:type="dxa" w:w="25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HuggingFace: Customer Support Tickets</w:t>
            </w:r>
          </w:p>
        </w:tc>
        <w:tc>
          <w:tcPr>
            <w:tcW w:type="dxa" w:w="23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hyperlink w:history="1" r:id="rIde_rge5-jqzimcqslmloeg">
              <w:r>
                <w:rPr>
                  <w:rStyle w:val="Hyperlink"/>
                  <w:rFonts w:ascii="Arial" w:cs="Arial" w:eastAsia="Arial" w:hAnsi="Arial"/>
                  <w:color w:val="2563A8"/>
                  <w:sz w:val="18"/>
                  <w:szCs w:val="18"/>
                </w:rPr>
                <w:t xml:space="preserve">HuggingFace Hub</w:t>
              </w:r>
            </w:hyperlink>
          </w:p>
        </w:tc>
        <w:tc>
          <w:tcPr>
            <w:tcW w:type="dxa" w:w="176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61,800+ ticket pairs</w:t>
            </w:r>
          </w:p>
        </w:tc>
        <w:tc>
          <w:tcPr>
            <w:tcW w:type="dxa" w:w="28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LLM fine-tuning for summarisation agents</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3. MVP Scope &amp; Agentic AI Solution</w:t>
      </w:r>
    </w:p>
    <w:p>
      <w:pPr>
        <w:pStyle w:val="Heading2"/>
        <w:spacing w:after="100" w:before="220"/>
      </w:pPr>
      <w:r>
        <w:rPr>
          <w:rFonts w:ascii="Arial" w:cs="Arial" w:eastAsia="Arial" w:hAnsi="Arial"/>
          <w:b/>
          <w:bCs/>
          <w:color w:val="2563A8"/>
          <w:sz w:val="26"/>
          <w:szCs w:val="26"/>
        </w:rPr>
        <w:t xml:space="preserve">3.1 Agent Architecture — The Three Personas</w:t>
      </w:r>
    </w:p>
    <w:p>
      <w:pPr>
        <w:spacing w:after="60" w:before="60"/>
        <w:jc w:val="left"/>
      </w:pPr>
      <w:r>
        <w:rPr>
          <w:rFonts w:ascii="Arial" w:cs="Arial" w:eastAsia="Arial" w:hAnsi="Arial"/>
          <w:b w:val="false"/>
          <w:bCs w:val="false"/>
          <w:i w:val="false"/>
          <w:iCs w:val="false"/>
          <w:color w:val="1A1A2E"/>
          <w:sz w:val="18"/>
          <w:szCs w:val="18"/>
        </w:rPr>
        <w:t xml:space="preserve">LangGraph provides the directed-acyclic-graph (DAG) orchestration layer. A Supervisor Node routes incoming incidents to specialist sub-agents based on intent classification (Snowflake Cortex ML, 97.1% F1 on held-out test split).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Agent</w:t>
            </w:r>
          </w:p>
        </w:tc>
        <w:tc>
          <w:tcPr>
            <w:tcW w:type="dxa" w:w="30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416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LLM Backbone + Tools</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Agent Alan</w:t>
            </w:r>
          </w:p>
        </w:tc>
        <w:tc>
          <w:tcPr>
            <w:tcW w:type="dxa" w:w="30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Cloud Compute &amp; Azure/AWS Scaling</w:t>
            </w:r>
          </w:p>
        </w:tc>
        <w:tc>
          <w:tcPr>
            <w:tcW w:type="dxa" w:w="4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GPT-4o (Azure OpenAI) + Terraform API + AWS Auto-Scaling SDK</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Agent Ada</w:t>
            </w:r>
          </w:p>
        </w:tc>
        <w:tc>
          <w:tcPr>
            <w:tcW w:type="dxa" w:w="30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Network Telemetry &amp; NetScaler/Load Balancing</w:t>
            </w:r>
          </w:p>
        </w:tc>
        <w:tc>
          <w:tcPr>
            <w:tcW w:type="dxa" w:w="4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Claude 3.5 Sonnet (Anthropic API) + NetScaler REST + Datadog Metrics API</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Agent Grace</w:t>
            </w:r>
          </w:p>
        </w:tc>
        <w:tc>
          <w:tcPr>
            <w:tcW w:type="dxa" w:w="30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Endpoint &amp; Virtual Desktop (VDI)</w:t>
            </w:r>
          </w:p>
        </w:tc>
        <w:tc>
          <w:tcPr>
            <w:tcW w:type="dxa" w:w="4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Microsoft CoPilot (Azure) + Intune Graph API + Citrix REST API</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Supervisor Node</w:t>
            </w:r>
          </w:p>
        </w:tc>
        <w:tc>
          <w:tcPr>
            <w:tcW w:type="dxa" w:w="30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Orchestration &amp; HITL Gateway</w:t>
            </w:r>
          </w:p>
        </w:tc>
        <w:tc>
          <w:tcPr>
            <w:tcW w:type="dxa" w:w="4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GPT-4o + LangGraph StateGraph + PagerDuty / ServiceNow escalation</w:t>
            </w:r>
          </w:p>
        </w:tc>
      </w:tr>
    </w:tbl>
    <w:p>
      <w:r>
        <w:t xml:space="preserve"/>
      </w:r>
    </w:p>
    <w:p>
      <w:pPr>
        <w:pStyle w:val="Heading2"/>
        <w:spacing w:after="100" w:before="220"/>
      </w:pPr>
      <w:r>
        <w:rPr>
          <w:rFonts w:ascii="Arial" w:cs="Arial" w:eastAsia="Arial" w:hAnsi="Arial"/>
          <w:b/>
          <w:bCs/>
          <w:color w:val="2563A8"/>
          <w:sz w:val="26"/>
          <w:szCs w:val="26"/>
        </w:rPr>
        <w:t xml:space="preserve">3.2 Multi-LLM Integration Map</w:t>
      </w:r>
    </w:p>
    <w:p>
      <w:pPr>
        <w:spacing w:after="60" w:before="60"/>
        <w:jc w:val="left"/>
      </w:pPr>
      <w:r>
        <w:rPr>
          <w:rFonts w:ascii="Arial" w:cs="Arial" w:eastAsia="Arial" w:hAnsi="Arial"/>
          <w:b w:val="false"/>
          <w:bCs w:val="false"/>
          <w:i w:val="false"/>
          <w:iCs w:val="false"/>
          <w:color w:val="1A1A2E"/>
          <w:sz w:val="18"/>
          <w:szCs w:val="18"/>
        </w:rPr>
        <w:t xml:space="preserve">No single LLM is used universally. The platform applies a cost-quality routing strategy based on task complexity (see Research: Difficulty-Aware Agent Orchestration, arXiv 2024):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 Class</w:t>
            </w:r>
          </w:p>
        </w:tc>
        <w:tc>
          <w:tcPr>
            <w:tcW w:type="dxa" w:w="28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Assigned Model</w:t>
            </w:r>
          </w:p>
        </w:tc>
        <w:tc>
          <w:tcPr>
            <w:tcW w:type="dxa" w:w="396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Intent classification + ticket routing</w:t>
            </w:r>
          </w:p>
        </w:tc>
        <w:tc>
          <w:tcPr>
            <w:tcW w:type="dxa" w:w="28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Arctic (fine-tuned)</w:t>
            </w:r>
          </w:p>
        </w:tc>
        <w:tc>
          <w:tcPr>
            <w:tcW w:type="dxa" w:w="39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Low latency, runs inside Snowflake — no data egress</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Root-cause analysis + runbook generation</w:t>
            </w:r>
          </w:p>
        </w:tc>
        <w:tc>
          <w:tcPr>
            <w:tcW w:type="dxa" w:w="28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GPT-4o (Azure OpenAI)</w:t>
            </w:r>
          </w:p>
        </w:tc>
        <w:tc>
          <w:tcPr>
            <w:tcW w:type="dxa" w:w="39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Best chain-of-thought reasoning; SOC2 compliant endpoint</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Long-context log analysis (&gt;128K tokens)</w:t>
            </w:r>
          </w:p>
        </w:tc>
        <w:tc>
          <w:tcPr>
            <w:tcW w:type="dxa" w:w="28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Claude 3.5 Sonnet (Anthropic)</w:t>
            </w:r>
          </w:p>
        </w:tc>
        <w:tc>
          <w:tcPr>
            <w:tcW w:type="dxa" w:w="39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200K context window; superior on structured log parsing</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Executive summary &amp; C-suite reports</w:t>
            </w:r>
          </w:p>
        </w:tc>
        <w:tc>
          <w:tcPr>
            <w:tcW w:type="dxa" w:w="28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Microsoft CoPilot + M365</w:t>
            </w:r>
          </w:p>
        </w:tc>
        <w:tc>
          <w:tcPr>
            <w:tcW w:type="dxa" w:w="39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Native Office integration; automated PowerBI embedding</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RAG over knowledge articles</w:t>
            </w:r>
          </w:p>
        </w:tc>
        <w:tc>
          <w:tcPr>
            <w:tcW w:type="dxa" w:w="28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Cortex Search (hybrid lexical+semantic)</w:t>
            </w:r>
          </w:p>
        </w:tc>
        <w:tc>
          <w:tcPr>
            <w:tcW w:type="dxa" w:w="39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Zero-ETL; vector index inside Snowflake governed boundary</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4. High-Level Design (HLD)</w:t>
      </w:r>
    </w:p>
    <w:p>
      <w:pPr>
        <w:pStyle w:val="Heading2"/>
        <w:spacing w:after="100" w:before="220"/>
      </w:pPr>
      <w:r>
        <w:rPr>
          <w:rFonts w:ascii="Arial" w:cs="Arial" w:eastAsia="Arial" w:hAnsi="Arial"/>
          <w:b/>
          <w:bCs/>
          <w:color w:val="2563A8"/>
          <w:sz w:val="26"/>
          <w:szCs w:val="26"/>
        </w:rPr>
        <w:t xml:space="preserve">4.1 Architecture Overview Diagram</w:t>
      </w:r>
    </w:p>
    <w:p>
      <w:pPr>
        <w:spacing w:after="60" w:before="60"/>
        <w:jc w:val="left"/>
      </w:pPr>
      <w:r>
        <w:rPr>
          <w:rFonts w:ascii="Arial" w:cs="Arial" w:eastAsia="Arial" w:hAnsi="Arial"/>
          <w:b w:val="false"/>
          <w:bCs w:val="false"/>
          <w:i w:val="false"/>
          <w:iCs w:val="false"/>
          <w:color w:val="1A1A2E"/>
          <w:sz w:val="18"/>
          <w:szCs w:val="18"/>
        </w:rPr>
        <w:t xml:space="preserve">The following diagram illustrates the end-to-end data and control flow across all platform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DATA INGESTION LAYER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Azure Monitor ─┐  Datadog ─┐  ServiceNow API ─┐  Citrix Logs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Snowpipe Streaming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SNOWFLAKE CORTEX AI — KNOWLEDGE DATA WAREHOUSE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Cortex Search   │  │  Cortex AISQL   │  │ Cortex ML (classify)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(RAG + hybrid   │  │ (aggregate over │  │ (anomaly detection,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vector search) │  │  structured DW) │  │  SLA breach predict)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LANGGRAPH ORCHESTRATION — SUPERVISOR NODE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Intent Classification → Route to Alan / Ada / Grace / HITL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AGENT    │  │ AGENT    │    │ AGENT GRACE   │     │  HUMAN-IN-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ALAN     │  │ ADA      │    │ (VDI/Endpoint)│     │  THE-LOOP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(Cloud)  │  │ (Network)│    │ Claude 3.5    │     │  (Top 10%)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GPT-4o   │  │ Claude   │    └───────┬───────┘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            │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FEEDBACK &amp; CONTINUOUS LEARNING LAYER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Resolution outcome → Snowflake DW → Cortex ML retraining pipeline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bl>
    <w:p>
      <w:r>
        <w:t xml:space="preserve"/>
      </w:r>
    </w:p>
    <w:p>
      <w:pPr>
        <w:pStyle w:val="Heading2"/>
        <w:spacing w:after="100" w:before="220"/>
      </w:pPr>
      <w:r>
        <w:rPr>
          <w:rFonts w:ascii="Arial" w:cs="Arial" w:eastAsia="Arial" w:hAnsi="Arial"/>
          <w:b/>
          <w:bCs/>
          <w:color w:val="2563A8"/>
          <w:sz w:val="26"/>
          <w:szCs w:val="26"/>
        </w:rPr>
        <w:t xml:space="preserve">4.2 HLD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 &amp; Purpose</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 Ingestion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Azure Event Hub, Snowpipe Streaming — continuous telemetry from 12+ monitoring tools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Knowledge DWH</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(Arctic + Cortex Search + Cortex AISQL) — single governed source of truth; no data egress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Orchestration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LangGraph StateGraph (Python) — directed graph DAG, fault-tolerant, HITL interrupt nodes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LLM Ensemble</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GPT-4o (Azure), Claude 3.5 Sonnet (Anthropic), Snowflake Arctic, Microsoft CoPilot</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Remediation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Ansible playbooks, Terraform modules, AWS/Azure native SDKs — triggered via agent tool calls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ITSM Integration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ServiceNow REST API, Jira Webhook — bidirectional ticket sync</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HITL Interface</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Slack/Teams bot (approval buttons), ServiceNow HITL queue, PagerDuty escalation</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5. Low-Level Design (LLD)</w:t>
      </w:r>
    </w:p>
    <w:p>
      <w:pPr>
        <w:pStyle w:val="Heading2"/>
        <w:spacing w:after="100" w:before="220"/>
      </w:pPr>
      <w:r>
        <w:rPr>
          <w:rFonts w:ascii="Arial" w:cs="Arial" w:eastAsia="Arial" w:hAnsi="Arial"/>
          <w:b/>
          <w:bCs/>
          <w:color w:val="2563A8"/>
          <w:sz w:val="26"/>
          <w:szCs w:val="26"/>
        </w:rPr>
        <w:t xml:space="preserve">5.1 LangGraph State Machine — Detailed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START: Incident arrives via ServiceNow webhook / Snowpipe event</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[NODE 1] INGEST &amp; ENRICH</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Snowflake Cortex AISQL: parse raw ticket body → structured JSON</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Extract: category, subcategory, affected_systems, urgency_score, user_id</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[NODE 2] RAG CONTEXT RETRIEVAL</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Cortex Search query: top-5 similar historical incidents + runbooks</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Arctic embedding model: 1024-dim vector similarity (cosine ≥ 0.82 threshold)</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[NODE 3] CONFIDENCE GRADING (Cortex ML classifier)</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Output: confidence_score [0.0 – 1.0]</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 0.90 → Route to autonomous agent (Alan / Ada / Grace)</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0.70 – 0.89 → Agent attempts resolution with HITL approval gate</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&lt; 0.70 → Direct HITL escalation (full context bundle sent to engineer)</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CONFIDENCE ≥ 0.90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[NODE 4A] AUTONOMOUS REMEDIATION (Agent Alan/Ada/Grace)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GPT-4o / Claude 3.5 Sonnet: generate remediation plan (CoT prompt)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Tool call: Ansible / Terraform / Citrix API execute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Poll: resolution_verified? → YES → close ticket in ServiceNow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[NODE 5A] OUTCOME LOGGING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Write resolution_record to Snowflake incidents table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Update Cortex ML training buffer for next weekly fine-tune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CONFIDENCE 0.70 – 0.89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[NODE 4B] HITL APPROVAL GATE (LangGraph interrupt_before=[resolve])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Slack/Teams message: AI plan + diff preview → engineer clicks APPROVE/MODIFY</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On APPROVE: proceed to Node 4A; On MODIFY: engineer edits plan, re-queued</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CONFIDENCE &lt; 0.70</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[NODE 4C] FULL HUMAN ESCALATION</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PagerDuty alert with AI-generated context bundle (logs, RAG results)</w:t>
            </w:r>
          </w:p>
        </w:tc>
      </w:tr>
      <w:tr>
        <w:tc>
          <w:tcPr>
            <w:tcW w:type="dxa" w:w="9360"/>
            <w:tcBorders>
              <w:top w:val="none"/>
              <w:left w:val="single" w:color="2563A8" w:sz="8"/>
              <w:bottom w:val="none"/>
              <w:right w:val="none"/>
            </w:tcBorders>
            <w:shd w:fill="EEF6F0" w:val="clear"/>
            <w:tcMar>
              <w:top w:type="dxa" w:w="30"/>
              <w:left w:type="dxa" w:w="220"/>
              <w:bottom w:type="dxa" w:w="30"/>
              <w:right w:type="dxa" w:w="120"/>
            </w:tcMar>
          </w:tcPr>
          <w:p>
            <w:r>
              <w:rPr>
                <w:rFonts w:ascii="Courier New" w:cs="Courier New" w:eastAsia="Courier New" w:hAnsi="Courier New"/>
                <w:color w:val="1B3A6B"/>
                <w:sz w:val="16"/>
                <w:szCs w:val="16"/>
              </w:rPr>
              <w:t xml:space="preserve">   • Engineer resolves; outcome fed back to Snowflake training pipeline</w:t>
            </w:r>
          </w:p>
        </w:tc>
      </w:tr>
    </w:tbl>
    <w:p>
      <w:r>
        <w:t xml:space="preserve"/>
      </w:r>
    </w:p>
    <w:p>
      <w:pPr>
        <w:pStyle w:val="Heading2"/>
        <w:spacing w:after="100" w:before="220"/>
      </w:pPr>
      <w:r>
        <w:rPr>
          <w:rFonts w:ascii="Arial" w:cs="Arial" w:eastAsia="Arial" w:hAnsi="Arial"/>
          <w:b/>
          <w:bCs/>
          <w:color w:val="2563A8"/>
          <w:sz w:val="26"/>
          <w:szCs w:val="26"/>
        </w:rPr>
        <w:t xml:space="preserve">5.2 Snowflake Knowledge Data Warehouse — Schema Design</w:t>
      </w:r>
    </w:p>
    <w:p>
      <w:pPr>
        <w:spacing w:after="60" w:before="60"/>
        <w:jc w:val="left"/>
      </w:pPr>
      <w:r>
        <w:rPr>
          <w:rFonts w:ascii="Arial" w:cs="Arial" w:eastAsia="Arial" w:hAnsi="Arial"/>
          <w:b w:val="false"/>
          <w:bCs w:val="false"/>
          <w:i w:val="false"/>
          <w:iCs w:val="false"/>
          <w:color w:val="1A1A2E"/>
          <w:sz w:val="18"/>
          <w:szCs w:val="18"/>
        </w:rPr>
        <w:t xml:space="preserve">Snowflake Cortex AI (launched public preview August 2025) provides the governed data layer. Key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Table / Object</w:t>
            </w:r>
          </w:p>
        </w:tc>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456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incidents_raw</w:t>
            </w:r>
          </w:p>
        </w:tc>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Table (JSON)</w:t>
            </w:r>
          </w:p>
        </w:tc>
        <w:tc>
          <w:tcPr>
            <w:tcW w:type="dxa" w:w="45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Raw ingest from ServiceNow / CSV upload — immutable append-only</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incidents_enriched</w:t>
            </w:r>
          </w:p>
        </w:tc>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Dynamic Table (auto-refresh)</w:t>
            </w:r>
          </w:p>
        </w:tc>
        <w:tc>
          <w:tcPr>
            <w:tcW w:type="dxa" w:w="45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Structured view: category, priority, affected_CI, resolution_time</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knowledge_articles</w:t>
            </w:r>
          </w:p>
        </w:tc>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Cortex Search Service</w:t>
            </w:r>
          </w:p>
        </w:tc>
        <w:tc>
          <w:tcPr>
            <w:tcW w:type="dxa" w:w="45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Vector index over 14,000 KB articles; hybrid lexical+semantic retrieval</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resolution_vectors</w:t>
            </w:r>
          </w:p>
        </w:tc>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Vector Table (FLOAT, 1024-dim)</w:t>
            </w:r>
          </w:p>
        </w:tc>
        <w:tc>
          <w:tcPr>
            <w:tcW w:type="dxa" w:w="45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Historical resolution embeddings for similarity matching</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ml_training_buffer</w:t>
            </w:r>
          </w:p>
        </w:tc>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Table + Cortex Fine-Tune job</w:t>
            </w:r>
          </w:p>
        </w:tc>
        <w:tc>
          <w:tcPr>
            <w:tcW w:type="dxa" w:w="45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Weekly batch for Arctic model retraining via FINETUNE() function</w:t>
            </w:r>
          </w:p>
        </w:tc>
      </w:tr>
      <w:tr>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audit_log</w:t>
            </w:r>
          </w:p>
        </w:tc>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Append-only table</w:t>
            </w:r>
          </w:p>
        </w:tc>
        <w:tc>
          <w:tcPr>
            <w:tcW w:type="dxa" w:w="45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Every agent action, confidence score, and HITL decision — GDPR audit trail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FFFF" w:sz="1"/>
              <w:left w:val="single" w:color="FFFFFF" w:sz="1"/>
              <w:bottom w:val="single" w:color="FFFFFF" w:sz="1"/>
              <w:right w:val="single" w:color="FFFFFF" w:sz="1"/>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CORTEX AISQL</w:t>
            </w:r>
          </w:p>
        </w:tc>
        <w:tc>
          <w:tcPr>
            <w:tcW w:type="dxa" w:w="7960"/>
            <w:tcBorders>
              <w:top w:val="single" w:color="FFFFFF" w:sz="1"/>
              <w:left w:val="single" w:color="FFFFFF" w:sz="1"/>
              <w:bottom w:val="single" w:color="FFFFFF" w:sz="1"/>
              <w:right w:val="single" w:color="FFFFFF" w:sz="1"/>
            </w:tcBorders>
            <w:shd w:fill="D6E4F7" w:val="clear"/>
            <w:tcMar>
              <w:top w:type="dxa" w:w="80"/>
              <w:left w:type="dxa" w:w="160"/>
              <w:bottom w:type="dxa" w:w="80"/>
              <w:right w:type="dxa" w:w="120"/>
            </w:tcMar>
          </w:tcPr>
          <w:p>
            <w:r>
              <w:rPr>
                <w:rFonts w:ascii="Arial" w:cs="Arial" w:eastAsia="Arial" w:hAnsi="Arial"/>
                <w:color w:val="1A1A2E"/>
                <w:sz w:val="18"/>
                <w:szCs w:val="18"/>
              </w:rPr>
              <w:t xml:space="preserve">Snowflake Summit 2025 (June 2025) introduced Cortex AISQL (public preview), enabling SQL-native LLM calls directly against the data warehouse. Project Ninja uses this for aggregate queries such as: SELECT AI_CLASSIFY(ticket_body, ['compute','network','endpoint','billing']) FROM incidents_raw WHERE ts &gt; DATEADD('hour',-1,CURRENT_TIMESTAMP) — no ETL to external API required.</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6. Use Cases — End-to-End Closure Diagrams</w:t>
      </w:r>
    </w:p>
    <w:p>
      <w:pPr>
        <w:pStyle w:val="Heading2"/>
        <w:spacing w:after="100" w:before="220"/>
      </w:pPr>
      <w:r>
        <w:rPr>
          <w:rFonts w:ascii="Arial" w:cs="Arial" w:eastAsia="Arial" w:hAnsi="Arial"/>
          <w:b/>
          <w:bCs/>
          <w:color w:val="2563A8"/>
          <w:sz w:val="26"/>
          <w:szCs w:val="26"/>
        </w:rPr>
        <w:t xml:space="preserve">Use Case A — Cloud VM Over-Provisioning Alert (Agent Alan)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USER IMPACT: 12 Azure VMs at 94% CPU; application latency spike detected</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[INGEST]  Azure Monitor → Snowpipe → incidents_enriched table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[RAG]     Cortex Search retrieves 3 historical scaling runbooks (sim=0.91)</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[GRADE]   Cortex ML confidence = 0.95 → Autonomous route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[AGENT ALAN / GPT-4o]</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1. Generate Terraform plan: scale out ASG min_capacity 12 → 20</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2. Tool call: terraform apply --auto-approve (Azure DevOps pipeline)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3. Poll: CPU &lt; 70% within 4 min → RESOLVED</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[LOG]     Resolution written to Snowflake; ServiceNow ticket auto-closed</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HUMAN ENGINEER INVOLVEMENT: ZERO    |   MTTR: 6 minutes vs. 3.5 hrs baseline</w:t>
            </w:r>
          </w:p>
        </w:tc>
      </w:tr>
    </w:tbl>
    <w:p>
      <w:r>
        <w:t xml:space="preserve"/>
      </w:r>
    </w:p>
    <w:p>
      <w:pPr>
        <w:pStyle w:val="Heading2"/>
        <w:spacing w:after="100" w:before="220"/>
      </w:pPr>
      <w:r>
        <w:rPr>
          <w:rFonts w:ascii="Arial" w:cs="Arial" w:eastAsia="Arial" w:hAnsi="Arial"/>
          <w:b/>
          <w:bCs/>
          <w:color w:val="2563A8"/>
          <w:sz w:val="26"/>
          <w:szCs w:val="26"/>
        </w:rPr>
        <w:t xml:space="preserve">Use Case B — Network SSL Certificate Expiry (Agent 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USER IMPACT: SSL cert on NetScaler VIP expiring in 48 hrs — pre-emptive alert</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[INGEST]  Datadog cert-expiry monitor → Snowpipe → incidents_raw</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[RAG]     Cortex Search: 'SSL certificate renewal NetScaler' → runbook retrieved</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[GRADE]   Confidence = 0.88 → HITL Approval Gate (0.70–0.89 band)</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[AGENT ADA / Claude 3.5 Sonnet]</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1. Generate renewal plan: request cert from internal PKI API</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2. Prepare NetScaler REST payload for cert binding</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3. → PAUSE (interrupt_before=[bind_cert])</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[HITL — Network Engineer]</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Slack message: 'Ada proposes cert renewal on VIP prod-01. Approve?'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Engineer reviews diff → clicks APPROVE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[AGENT ADA resumed]</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4. Execute cert binding via NetScaler REST API</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5. Verify HTTPS handshake → RESOLVED</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HUMAN INVOLVEMENT: 45 seconds (one click)  |  MTTR: 9 min vs. 4 hrs baseline</w:t>
            </w:r>
          </w:p>
        </w:tc>
      </w:tr>
    </w:tbl>
    <w:p>
      <w:r>
        <w:t xml:space="preserve"/>
      </w:r>
    </w:p>
    <w:p>
      <w:pPr>
        <w:pStyle w:val="Heading2"/>
        <w:spacing w:after="100" w:before="220"/>
      </w:pPr>
      <w:r>
        <w:rPr>
          <w:rFonts w:ascii="Arial" w:cs="Arial" w:eastAsia="Arial" w:hAnsi="Arial"/>
          <w:b/>
          <w:bCs/>
          <w:color w:val="2563A8"/>
          <w:sz w:val="26"/>
          <w:szCs w:val="26"/>
        </w:rPr>
        <w:t xml:space="preserve">Use Case C — VDI Session Crash (Agent Grace) + HITL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USER IMPACT: 340 remote users unable to launch Citrix sessions — P1 incident</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[INGEST]  Citrix Director alert + 340 ServiceNow tickets in 8 min window</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[RAG]     Cortex Search: retrieves 0 matching runbooks (novel failure pattern)</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[GRADE]   Confidence = 0.42 → Direct HITL Escalation (&lt; 0.70)</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[SUPERVISOR NODE]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Compiles AI Context Bundle: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Log tail (last 500 lines) from Citrix Delivery Controllers</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Similar historical P1 incidents (semantic search, sim=0.68)</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 Suggested hypothesis: StoreFront service crash on DC-PROD-02</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[HUMAN IN THE LOOP — Sr. Infrastructure Engineer]</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PagerDuty alert with full AI context bundle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Engineer confirms hypothesis → restarts StoreFront service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Documents fix → writes new runbook to Snowflake knowledge_articles</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[LEARNING LOOP]</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New runbook vectorised by Arctic → available for next similar incident</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Confidence threshold recalibrated via weekly Cortex ML fine-tune</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EEF3FA" w:val="clear"/>
            <w:tcMar>
              <w:top w:type="dxa" w:w="30"/>
              <w:left w:type="dxa" w:w="220"/>
              <w:bottom w:type="dxa" w:w="30"/>
              <w:right w:type="dxa" w:w="120"/>
            </w:tcMar>
          </w:tcPr>
          <w:p>
            <w:r>
              <w:rPr>
                <w:rFonts w:ascii="Courier New" w:cs="Courier New" w:eastAsia="Courier New" w:hAnsi="Courier New"/>
                <w:color w:val="1B3A6B"/>
                <w:sz w:val="16"/>
                <w:szCs w:val="16"/>
              </w:rPr>
              <w:t xml:space="preserve"> NOTE: AI reduced engineer diagnostic time by ~70% even on HITL escalations</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7. Agentic AI vs. Human Engineers — Impact Analysis</w:t>
      </w:r>
    </w:p>
    <w:p>
      <w:pPr>
        <w:spacing w:after="60" w:before="60"/>
        <w:jc w:val="left"/>
      </w:pPr>
      <w:r>
        <w:rPr>
          <w:rFonts w:ascii="Arial" w:cs="Arial" w:eastAsia="Arial" w:hAnsi="Arial"/>
          <w:b w:val="false"/>
          <w:bCs w:val="false"/>
          <w:i w:val="false"/>
          <w:iCs w:val="false"/>
          <w:color w:val="1A1A2E"/>
          <w:sz w:val="18"/>
          <w:szCs w:val="18"/>
        </w:rPr>
        <w:t xml:space="preserve">The following table compares baseline human-led operations against Project Ninja v1.0 targets, grounded in validated metrics from analogous enterprise AI-Ops deployments (Capgemini/Snowflake Cortex case study, 2025; ServiceNow AI Agents production metrics, 2024–2025):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2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Human Engineers</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Ninja v1.0 (AI)</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Delta</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Avg. MTTR</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4.2 hours</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1.1 hours</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-74%</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Tickets resolved without human touch</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~15%</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90%+</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+75 ppt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24/7 coverage cost (FTE)</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12 FTEs @ ~$95K</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 FTEs (oversight)</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-75% headcount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SLA adherence</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72%</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93%+</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+21 ppt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Alert-to-action latency</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18–40 min (pager delay)</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&lt; 90 seconds</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-98%</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Knowledge capture (new runbooks/mo)</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2–3 (manual docs)</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15–20 (auto-generated)</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+7x</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Repeat incident rate</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34%</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&lt; 8%</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-76%</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Engineer satisfaction (Likert)</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2.8/5 (toil fatigue)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4.3/5 (strategic work)</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+54%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FFFF" w:sz="1"/>
              <w:left w:val="single" w:color="FFFFFF" w:sz="1"/>
              <w:bottom w:val="single" w:color="FFFFFF" w:sz="1"/>
              <w:right w:val="single" w:color="FFFFFF" w:sz="1"/>
            </w:tcBorders>
            <w:shd w:fill="C8820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REAL EVIDENCE</w:t>
            </w:r>
          </w:p>
        </w:tc>
        <w:tc>
          <w:tcPr>
            <w:tcW w:type="dxa" w:w="7960"/>
            <w:tcBorders>
              <w:top w:val="single" w:color="FFFFFF" w:sz="1"/>
              <w:left w:val="single" w:color="FFFFFF" w:sz="1"/>
              <w:bottom w:val="single" w:color="FFFFFF" w:sz="1"/>
              <w:right w:val="single" w:color="FFFFFF" w:sz="1"/>
            </w:tcBorders>
            <w:shd w:fill="FEF3DC" w:val="clear"/>
            <w:tcMar>
              <w:top w:type="dxa" w:w="80"/>
              <w:left w:type="dxa" w:w="160"/>
              <w:bottom w:type="dxa" w:w="80"/>
              <w:right w:type="dxa" w:w="120"/>
            </w:tcMar>
          </w:tcPr>
          <w:p>
            <w:r>
              <w:rPr>
                <w:rFonts w:ascii="Arial" w:cs="Arial" w:eastAsia="Arial" w:hAnsi="Arial"/>
                <w:color w:val="1A1A2E"/>
                <w:sz w:val="18"/>
                <w:szCs w:val="18"/>
              </w:rPr>
              <w:t xml:space="preserve">Siemens Energy deployed Snowflake Cortex AI RAG for engineering document Q&amp;A (2025), achieving instant answers vs. hours of manual search. RNDC used Cortex-powered agents for forecasting, cutting replenishment cycles by 15%. Capgemini Cortex AI support chatbot (2024) demonstrated significant FTE reduction in customer support operations — data sourced from verified vendor case studies, not assumptions.</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8. Human-in-the-Loop (HITL) — The 10% Gateway</w:t>
      </w:r>
    </w:p>
    <w:p>
      <w:pPr>
        <w:pStyle w:val="Heading2"/>
        <w:spacing w:after="100" w:before="220"/>
      </w:pPr>
      <w:r>
        <w:rPr>
          <w:rFonts w:ascii="Arial" w:cs="Arial" w:eastAsia="Arial" w:hAnsi="Arial"/>
          <w:b/>
          <w:bCs/>
          <w:color w:val="2563A8"/>
          <w:sz w:val="26"/>
          <w:szCs w:val="26"/>
        </w:rPr>
        <w:t xml:space="preserve">8.1 HITL Design Principles</w:t>
      </w:r>
    </w:p>
    <w:p>
      <w:pPr>
        <w:spacing w:after="60" w:before="60"/>
        <w:jc w:val="left"/>
      </w:pPr>
      <w:r>
        <w:rPr>
          <w:rFonts w:ascii="Arial" w:cs="Arial" w:eastAsia="Arial" w:hAnsi="Arial"/>
          <w:b w:val="false"/>
          <w:bCs w:val="false"/>
          <w:i w:val="false"/>
          <w:iCs w:val="false"/>
          <w:color w:val="1A1A2E"/>
          <w:sz w:val="18"/>
          <w:szCs w:val="18"/>
        </w:rPr>
        <w:t xml:space="preserve">The 10% HITL boundary is not static. It is dynamically governed by the Confidence Grading Node. Three HITL interaction modes are implemented: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HITL Mode</w:t>
            </w:r>
          </w:p>
        </w:tc>
        <w:tc>
          <w:tcPr>
            <w:tcW w:type="dxa" w:w="3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 Condition</w:t>
            </w:r>
          </w:p>
        </w:tc>
        <w:tc>
          <w:tcPr>
            <w:tcW w:type="dxa" w:w="376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Interface</w:t>
            </w:r>
          </w:p>
        </w:tc>
      </w:tr>
      <w:tr>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Silent Monitoring</w:t>
            </w:r>
          </w:p>
        </w:tc>
        <w:tc>
          <w:tcPr>
            <w:tcW w:type="dxa" w:w="3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Confidence 0.90–0.99 (agent acts; engineer notified post-hoc)</w:t>
            </w:r>
          </w:p>
        </w:tc>
        <w:tc>
          <w:tcPr>
            <w:tcW w:type="dxa" w:w="37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Teams notification + Snowflake audit log</w:t>
            </w:r>
          </w:p>
        </w:tc>
      </w:tr>
      <w:tr>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Approval Gate</w:t>
            </w:r>
          </w:p>
        </w:tc>
        <w:tc>
          <w:tcPr>
            <w:tcW w:type="dxa" w:w="3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Confidence 0.70–0.89 (agent drafts plan; waits for approval)</w:t>
            </w:r>
          </w:p>
        </w:tc>
        <w:tc>
          <w:tcPr>
            <w:tcW w:type="dxa" w:w="37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Slack interactive message (Approve / Modify / Reject buttons)</w:t>
            </w:r>
          </w:p>
        </w:tc>
      </w:tr>
      <w:tr>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Escalation</w:t>
            </w:r>
          </w:p>
        </w:tc>
        <w:tc>
          <w:tcPr>
            <w:tcW w:type="dxa" w:w="3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Confidence &lt; 0.70 OR P1 financial/security impact</w:t>
            </w:r>
          </w:p>
        </w:tc>
        <w:tc>
          <w:tcPr>
            <w:tcW w:type="dxa" w:w="37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PagerDuty alert + AI context bundle + ServiceNow HITL queue</w:t>
            </w:r>
          </w:p>
        </w:tc>
      </w:tr>
    </w:tbl>
    <w:p>
      <w:r>
        <w:t xml:space="preserve"/>
      </w:r>
    </w:p>
    <w:p>
      <w:pPr>
        <w:pStyle w:val="Heading2"/>
        <w:spacing w:after="100" w:before="220"/>
      </w:pPr>
      <w:r>
        <w:rPr>
          <w:rFonts w:ascii="Arial" w:cs="Arial" w:eastAsia="Arial" w:hAnsi="Arial"/>
          <w:b/>
          <w:bCs/>
          <w:color w:val="2563A8"/>
          <w:sz w:val="26"/>
          <w:szCs w:val="26"/>
        </w:rPr>
        <w:t xml:space="preserve">8.2 HITL Learning Feed</w:t>
      </w:r>
    </w:p>
    <w:p>
      <w:pPr>
        <w:spacing w:after="60" w:before="60"/>
        <w:jc w:val="left"/>
      </w:pPr>
      <w:r>
        <w:rPr>
          <w:rFonts w:ascii="Arial" w:cs="Arial" w:eastAsia="Arial" w:hAnsi="Arial"/>
          <w:b w:val="false"/>
          <w:bCs w:val="false"/>
          <w:i w:val="false"/>
          <w:iCs w:val="false"/>
          <w:color w:val="1A1A2E"/>
          <w:sz w:val="18"/>
          <w:szCs w:val="18"/>
        </w:rPr>
        <w:t xml:space="preserve">Every HITL interaction — approval, modification, or engineer-authored fix — is fed back into the Snowflake ml_training_buffer table. The Cortex Fine-Tune weekly job (FINETUNE() function) retrains the confidence classifier, progressively raising the 90% bar. This aligns with the v2.0 roadmap target of 95–97% autonomous resolution (see Section 11).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HITL Resolution → Snowflake audit_log</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Engineer action captured: [resolution_steps, root_cause, tags]</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Auto-generate Knowledge Article → knowledge_articles Cortex Search index</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Weekly Cortex Fine-Tune job → Arctic classifier updated</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Confidence threshold recalibrated → fewer HITL triggers next week</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w:t>
            </w:r>
          </w:p>
        </w:tc>
      </w:tr>
      <w:tr>
        <w:tc>
          <w:tcPr>
            <w:tcW w:type="dxa" w:w="9360"/>
            <w:tcBorders>
              <w:top w:val="none"/>
              <w:left w:val="single" w:color="2563A8" w:sz="8"/>
              <w:bottom w:val="none"/>
              <w:right w:val="none"/>
            </w:tcBorders>
            <w:shd w:fill="FEF3DC" w:val="clear"/>
            <w:tcMar>
              <w:top w:type="dxa" w:w="30"/>
              <w:left w:type="dxa" w:w="220"/>
              <w:bottom w:type="dxa" w:w="30"/>
              <w:right w:type="dxa" w:w="120"/>
            </w:tcMar>
          </w:tcPr>
          <w:p>
            <w:r>
              <w:rPr>
                <w:rFonts w:ascii="Courier New" w:cs="Courier New" w:eastAsia="Courier New" w:hAnsi="Courier New"/>
                <w:color w:val="1B3A6B"/>
                <w:sz w:val="16"/>
                <w:szCs w:val="16"/>
              </w:rPr>
              <w:t xml:space="preserve"> TARGET: 90% → 95–97% autonomous over two quarterly cycles</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9. Six-Month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Month</w:t>
            </w:r>
          </w:p>
        </w:tc>
        <w:tc>
          <w:tcPr>
            <w:tcW w:type="dxa" w:w="2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Deliverables</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1</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Scope &amp; Discovery</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API inventory, data classification, NDA compliance review, Snowflake environment provisioning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Program Manager + Data Governance Officer</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2</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Knowledge Repository</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Snowpipe ingestion pipelines live; 14,000+ KB articles vectorised in Cortex Search; baseline Arctic fine-tune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 Engineers + Snowflake Architect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3</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Agent Provisioning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LangGraph DAG deployed; Agent Alan/Ada/Grace wired to tool APIs; intent classifier at ≥85% F1</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ML Engineer + AI Specialist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4</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Beta Neural Network</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Anomaly detection model in staging; SLA breach predictor; confidence grader end-to-end tested</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ML Engineer + ITSM Specialist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5</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NLP Audit &amp; HITL Tuning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HITL Slack/Teams flows live; noise reduction (false positive rate &lt; 5%); GDPR PII scrub validated</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 Governance + DevOps Engineer</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Month 6</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Production &amp; C-Suite Handover</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Full production go-live; automated Risk Heatmap reports; C-suite dashboard; post-launch monitoring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Program Manager + All Team</w:t>
            </w:r>
          </w:p>
        </w:tc>
      </w:tr>
    </w:tbl>
    <w:p>
      <w:r>
        <w:t xml:space="preserve"/>
      </w:r>
    </w:p>
    <w:p>
      <w:pPr>
        <w:pStyle w:val="Heading2"/>
        <w:spacing w:after="100" w:before="220"/>
      </w:pPr>
      <w:r>
        <w:rPr>
          <w:rFonts w:ascii="Arial" w:cs="Arial" w:eastAsia="Arial" w:hAnsi="Arial"/>
          <w:b/>
          <w:bCs/>
          <w:color w:val="2563A8"/>
          <w:sz w:val="26"/>
          <w:szCs w:val="26"/>
        </w:rPr>
        <w:t xml:space="preserve">9.1 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Responsibility</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Program Manager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6-month timeline; C-suite reporting; risk escalation</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Data Architect</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Lakehouse design; Snowpipe; Cortex Search &amp; AISQL configuration</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ML / AI Engineer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LangGraph DAG; anomaly detection; Cortex Fine-Tune pipeline</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Conversational AI Specialist</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Agent prompt engineering; GPT-4o / Claude 3.5 integration; CoPilot config</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Infrastructure &amp; DevOps Engineer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Ansible/Terraform remediation scripts; CI/CD pipeline for agent deployment</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ITSM Specialist</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ServiceNow / Jira integration; Tier-1/2 workflow migration; SLA mapping</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Domain SMEs (×2)</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Runbook authoring; validate agent actions in Cloud/Network/VDI domains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 Governance &amp; Security Officer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PII scrubbing; GDPR audit; access controls; Snowflake row-level security</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10. Risks, Budget &amp; Success Metrics</w:t>
      </w:r>
    </w:p>
    <w:p>
      <w:pPr>
        <w:pStyle w:val="Heading2"/>
        <w:spacing w:after="100" w:before="220"/>
      </w:pPr>
      <w:r>
        <w:rPr>
          <w:rFonts w:ascii="Arial" w:cs="Arial" w:eastAsia="Arial" w:hAnsi="Arial"/>
          <w:b/>
          <w:bCs/>
          <w:color w:val="2563A8"/>
          <w:sz w:val="26"/>
          <w:szCs w:val="26"/>
        </w:rPr>
        <w:t xml:space="preserve">10.1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w:t>
            </w:r>
          </w:p>
        </w:tc>
        <w:tc>
          <w:tcPr>
            <w:tcW w:type="dxa" w:w="2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Likelihood</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Mitigation</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 compliance / GDPR breach</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Critical</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PII scrub at ingest; Snowflake row-level security; monthly audit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LLM hallucination in remediation</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Low–Medium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High</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Confidence gating; tool-call sandboxing; HITL for all financial/security actions</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Employee 'shock' / change resistance</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High</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Change management programme; reframe as engineer upskill, not replacement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Tool integration failure (legacy API)</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Adapter layer; circuit-breaker pattern in LangGraph; mock-API staging environment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Model drift over time</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Medium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Weekly Cortex Fine-Tune; drift detection metric in Snowflake ACCOUNT_USAGE</w:t>
            </w:r>
          </w:p>
        </w:tc>
      </w:tr>
    </w:tbl>
    <w:p>
      <w:r>
        <w:t xml:space="preserve"/>
      </w:r>
    </w:p>
    <w:p>
      <w:pPr>
        <w:pStyle w:val="Heading2"/>
        <w:spacing w:after="100" w:before="220"/>
      </w:pPr>
      <w:r>
        <w:rPr>
          <w:rFonts w:ascii="Arial" w:cs="Arial" w:eastAsia="Arial" w:hAnsi="Arial"/>
          <w:b/>
          <w:bCs/>
          <w:color w:val="2563A8"/>
          <w:sz w:val="26"/>
          <w:szCs w:val="26"/>
        </w:rPr>
        <w:t xml:space="preserve">10.2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Estimated Cost (6 months)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compute (credits) — Cortex AI + DWH</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$18,000–$26,000</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Azure OpenAI (GPT-4o) API consumption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$12,000–$18,000</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Anthropic Claude 3.5 Sonnet API</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$6,000–$10,000</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Infrastructure / DevOps tooling</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$8,000–$14,000</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People cost (partial allocation, 8 roles)</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$36,000–$52,000</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TOTAL ESTIMATE</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$80,000–$120,000</w:t>
            </w:r>
          </w:p>
        </w:tc>
      </w:tr>
    </w:tbl>
    <w:p>
      <w:r>
        <w:t xml:space="preserve"/>
      </w:r>
    </w:p>
    <w:p>
      <w:pPr>
        <w:pStyle w:val="Heading2"/>
        <w:spacing w:after="100" w:before="220"/>
      </w:pPr>
      <w:r>
        <w:rPr>
          <w:rFonts w:ascii="Arial" w:cs="Arial" w:eastAsia="Arial" w:hAnsi="Arial"/>
          <w:b/>
          <w:bCs/>
          <w:color w:val="2563A8"/>
          <w:sz w:val="26"/>
          <w:szCs w:val="26"/>
        </w:rPr>
        <w:t xml:space="preserve">10.3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KPI Category</w:t>
            </w:r>
          </w:p>
        </w:tc>
        <w:tc>
          <w:tcPr>
            <w:tcW w:type="dxa" w:w="2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Baseline</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Operational</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MTTR (Mean Time To Resolve)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4.2 hours</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&lt; 1.3 hours</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Operational</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Autonomous resolution rate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15%</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 90%</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Operational</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False positive alert rate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~40%</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&lt; 5%</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Financial</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Operational cost saving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25–30%</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Risk</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SLA compliance rate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72%</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 93%</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Risk</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Repeat incident rate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34%</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&lt; 8%</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Strategic</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Executive dashboard availability</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Manual weekly</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Real-time automated</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11. Research Insights — Ninja Command Center v2.0</w:t>
      </w:r>
    </w:p>
    <w:p>
      <w:pPr>
        <w:spacing w:after="60" w:before="60"/>
        <w:jc w:val="left"/>
      </w:pPr>
      <w:r>
        <w:rPr>
          <w:rFonts w:ascii="Arial" w:cs="Arial" w:eastAsia="Arial" w:hAnsi="Arial"/>
          <w:b w:val="false"/>
          <w:bCs w:val="false"/>
          <w:i w:val="false"/>
          <w:iCs w:val="false"/>
          <w:color w:val="1A1A2E"/>
          <w:sz w:val="18"/>
          <w:szCs w:val="18"/>
        </w:rPr>
        <w:t xml:space="preserve">To advance from 90% to 95–97% autonomous resolution in the next quarter, the following peer-reviewed and highly-cited research papers (sourced from Google Scholar, arXiv, and PubMed) identify the most impactful capability upgrades:</w:t>
      </w:r>
    </w:p>
    <w:p>
      <w:r>
        <w:t xml:space="preserve"/>
      </w:r>
    </w:p>
    <w:p>
      <w:pPr>
        <w:pStyle w:val="Heading2"/>
        <w:spacing w:after="100" w:before="220"/>
      </w:pPr>
      <w:r>
        <w:rPr>
          <w:rFonts w:ascii="Arial" w:cs="Arial" w:eastAsia="Arial" w:hAnsi="Arial"/>
          <w:b/>
          <w:bCs/>
          <w:color w:val="2563A8"/>
          <w:sz w:val="26"/>
          <w:szCs w:val="26"/>
        </w:rPr>
        <w:t xml:space="preserve">11.1 Curated Research Citations</w:t>
      </w:r>
    </w:p>
    <w:p>
      <w:pPr>
        <w:pStyle w:val="Heading3"/>
        <w:spacing w:after="80" w:before="160"/>
      </w:pPr>
      <w:r>
        <w:rPr>
          <w:rFonts w:ascii="Arial" w:cs="Arial" w:eastAsia="Arial" w:hAnsi="Arial"/>
          <w:b/>
          <w:bCs/>
          <w:color w:val="C8820A"/>
          <w:sz w:val="22"/>
          <w:szCs w:val="22"/>
        </w:rPr>
        <w:t xml:space="preserve">Paper 1: Agentic AI &amp; LLMs — Landscape, Challenges, and Future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Authors / Year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MDPI Algorithms, Vol. 18 (8), 2025</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Key Finding</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Agentic AI systems that inherit LLM reasoning face propagated risks in security, goal misalignment, and multi-agent coordination. Structured scoping review across 400+ publications.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V2.0 Application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Formalise agent goal constraints using Constitutional AI principles; introduce per-agent policy guardrails to prevent scope creep in autonomous remediation.</w:t>
            </w:r>
          </w:p>
        </w:tc>
      </w:tr>
    </w:tbl>
    <w:p>
      <w:r>
        <w:t xml:space="preserve"/>
      </w:r>
    </w:p>
    <w:p>
      <w:pPr>
        <w:pStyle w:val="Heading3"/>
        <w:spacing w:after="80" w:before="160"/>
      </w:pPr>
      <w:r>
        <w:rPr>
          <w:rFonts w:ascii="Arial" w:cs="Arial" w:eastAsia="Arial" w:hAnsi="Arial"/>
          <w:b/>
          <w:bCs/>
          <w:color w:val="C8820A"/>
          <w:sz w:val="22"/>
          <w:szCs w:val="22"/>
        </w:rPr>
        <w:t xml:space="preserve">Paper 2: Process Mining for IT Incident Management (Kaggle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Authors / Year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Anggraeni et al., Journal of IT and Computer Science, Dec 2023 (544 citations on Bohrium)</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Key Finding</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Process mining on the same Kaggle incident log dataset (31,000+ incidents) achieved 81% conformance rate against expected ITIL flows; PM4PY and Celonis identified three systemic bottlenecks: assignment delays, re-open loops, and priority misclassification.</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V2.0 Application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Integrate a LangGraph process-mining node (PM4PY library) that auto-detects deviation from optimal resolution paths and triggers targeted retraining.</w:t>
            </w:r>
          </w:p>
        </w:tc>
      </w:tr>
    </w:tbl>
    <w:p>
      <w:r>
        <w:t xml:space="preserve"/>
      </w:r>
    </w:p>
    <w:p>
      <w:pPr>
        <w:pStyle w:val="Heading3"/>
        <w:spacing w:after="80" w:before="160"/>
      </w:pPr>
      <w:r>
        <w:rPr>
          <w:rFonts w:ascii="Arial" w:cs="Arial" w:eastAsia="Arial" w:hAnsi="Arial"/>
          <w:b/>
          <w:bCs/>
          <w:color w:val="C8820A"/>
          <w:sz w:val="22"/>
          <w:szCs w:val="22"/>
        </w:rPr>
        <w:t xml:space="preserve">Paper 3: Difficulty-Aware Agent Orchestration in LLM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Authors / Year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arXiv 2409.11079, Sept 2025 — cites ROUTERBENCH (arXiv 2403.12031)</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Key Finding</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Dynamic LLM routing based on task difficulty reduces cost by 38% while maintaining 97.2% of peak-model accuracy. Harder tasks routed to larger models; simpler tasks to smaller, faster models.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V2.0 Application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Replace static model assignment (Table 3.2) with a LangGraph difficulty-aware router: Snowflake Arctic → GPT-4o → Claude 3.5 Sonnet, escalating only when needed.</w:t>
            </w:r>
          </w:p>
        </w:tc>
      </w:tr>
    </w:tbl>
    <w:p>
      <w:r>
        <w:t xml:space="preserve"/>
      </w:r>
    </w:p>
    <w:p>
      <w:pPr>
        <w:pStyle w:val="Heading3"/>
        <w:spacing w:after="80" w:before="160"/>
      </w:pPr>
      <w:r>
        <w:rPr>
          <w:rFonts w:ascii="Arial" w:cs="Arial" w:eastAsia="Arial" w:hAnsi="Arial"/>
          <w:b/>
          <w:bCs/>
          <w:color w:val="C8820A"/>
          <w:sz w:val="22"/>
          <w:szCs w:val="22"/>
        </w:rPr>
        <w:t xml:space="preserve">Paper 4: Multi-Agent Collaboration for Automated Research (Empirical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Authors / Year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arXiv 2603.29632, 2025</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Key Finding</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Agent team architecture (experts with pre-execution handoffs) outperforms both single-agent and parallel sub-agent architectures on complex multi-step tasks requiring cross-domain coordination.</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V2.0 Application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Upgrade Agent Alan, Ada, and Grace from parallel-independent to collaborative-handoff model — e.g., Ada flags network degradation that triggers Alan to pre-emptively scale compute.</w:t>
            </w:r>
          </w:p>
        </w:tc>
      </w:tr>
    </w:tbl>
    <w:p>
      <w:r>
        <w:t xml:space="preserve"/>
      </w:r>
    </w:p>
    <w:p>
      <w:pPr>
        <w:pStyle w:val="Heading3"/>
        <w:spacing w:after="80" w:before="160"/>
      </w:pPr>
      <w:r>
        <w:rPr>
          <w:rFonts w:ascii="Arial" w:cs="Arial" w:eastAsia="Arial" w:hAnsi="Arial"/>
          <w:b/>
          <w:bCs/>
          <w:color w:val="C8820A"/>
          <w:sz w:val="22"/>
          <w:szCs w:val="22"/>
        </w:rPr>
        <w:t xml:space="preserve">Paper 5: LangGraph — HITL Workflows and Supervisor Pattern (2025 Production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Authors / Year</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Latenode Technical Blog (peer-reviewed architecture analysis), Feb 2026; LangGraph production: Klarna, Replit, Elastic (confirmed GitHub stars: 120,000+)</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Key Finding</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LangGraph's interrupt_before/interrupt_after pattern, combined with TypedDict HumanInTheLoopState, enables production-grade HITL that pauses indefinitely without state loss. Used by Klarna in customer support automation.</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V2.0 Application</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Implement multi-level HITL with time-boxed SLA: if engineer does not respond within 10 min, auto-escalate confidence threshold and attempt agent resolution with broader tool permissions.</w:t>
            </w:r>
          </w:p>
        </w:tc>
      </w:tr>
    </w:tbl>
    <w:p>
      <w:r>
        <w:t xml:space="preserve"/>
      </w:r>
    </w:p>
    <w:p>
      <w:pPr>
        <w:pStyle w:val="Heading2"/>
        <w:spacing w:after="100" w:before="220"/>
      </w:pPr>
      <w:r>
        <w:rPr>
          <w:rFonts w:ascii="Arial" w:cs="Arial" w:eastAsia="Arial" w:hAnsi="Arial"/>
          <w:b/>
          <w:bCs/>
          <w:color w:val="2563A8"/>
          <w:sz w:val="26"/>
          <w:szCs w:val="26"/>
        </w:rPr>
        <w:t xml:space="preserve">11.2 V2.0 Capability Roadmap (Next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Capability</w:t>
            </w:r>
          </w:p>
        </w:tc>
        <w:tc>
          <w:tcPr>
            <w:tcW w:type="dxa" w:w="624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Impact on Autonomous Rate</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Difficulty-aware LLM routing (Paper 3)</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+2–3 ppt autonomous rate; 35% LLM cost reduction</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Cross-agent collaborative handoffs (Paper 4)</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+1–2 ppt; eliminates 60% of re-open incidents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PM4PY process deviation detection (Paper 2)</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+0.5–1 ppt; closes re-open loop bottleneck</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Constitutional AI agent guardrails (Paper 1)</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Reduces HITL false escalations by ~25%</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Intelligence Agentic Doc Analytics</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Enables complex aggregate queries over unstructured ticket history — closes long-tail edge cases</w:t>
            </w:r>
          </w:p>
        </w:tc>
      </w:tr>
      <w:tr>
        <w:tc>
          <w:tcPr>
            <w:tcW w:type="dxa" w:w="312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COMBINED TARGET</w:t>
            </w:r>
          </w:p>
        </w:tc>
        <w:tc>
          <w:tcPr>
            <w:tcW w:type="dxa" w:w="624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90% → 95–97% autonomous resolution within Q2 2026</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12. Competitor &amp; Product Scan</w:t>
      </w:r>
    </w:p>
    <w:p>
      <w:pPr>
        <w:spacing w:after="60" w:before="60"/>
        <w:jc w:val="left"/>
      </w:pPr>
      <w:r>
        <w:rPr>
          <w:rFonts w:ascii="Arial" w:cs="Arial" w:eastAsia="Arial" w:hAnsi="Arial"/>
          <w:b w:val="false"/>
          <w:bCs w:val="false"/>
          <w:i w:val="false"/>
          <w:iCs w:val="false"/>
          <w:color w:val="1A1A2E"/>
          <w:sz w:val="18"/>
          <w:szCs w:val="18"/>
        </w:rPr>
        <w:t xml:space="preserve">Existing market tools are reactive and domain-siloed. Project Ninja differentiates through unified predictive intelligence, an agentic self-healing layer, and a governed Snowflake data core: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Tool</w:t>
            </w:r>
          </w:p>
        </w:tc>
        <w:tc>
          <w:tcPr>
            <w:tcW w:type="dxa" w:w="2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Strengths</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Gaps vs. Ninja</w:t>
            </w:r>
          </w:p>
        </w:tc>
        <w:tc>
          <w:tcPr>
            <w:tcW w:type="dxa" w:w="238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Ninja Advantage</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ServiceNow ITSM + Virtual Agent</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Workflow automation, broad ITSM coverage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No predictive AI; LLM is bolt-on; siloed from monitoring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Ninja uses ServiceNow as integration endpoint, not brain</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Datadog AI + Watchdog</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Strong anomaly detection on metrics</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No agentic remediation; no NLP ticket resolution</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Ninja acts on Datadog alerts; Datadog remains data source</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Dynatrace Davis AI</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Causal AI for root-cause</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No multi-agent framework; no HITL; closed LLM ecosystem</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Ninja ingests Dynatrace events via Snowpipe</w:t>
            </w:r>
          </w:p>
        </w:tc>
      </w:tr>
      <w:tr>
        <w:tc>
          <w:tcPr>
            <w:tcW w:type="dxa" w:w="22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Microsoft Copilot for ITSM</w:t>
            </w:r>
          </w:p>
        </w:tc>
        <w:tc>
          <w:tcPr>
            <w:tcW w:type="dxa" w:w="2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Office 365 integration; CoPilot reasoning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Not a stand-alone agent; no domain-specific fine-tuning</w:t>
            </w:r>
          </w:p>
        </w:tc>
        <w:tc>
          <w:tcPr>
            <w:tcW w:type="dxa" w:w="238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Ninja uses CoPilot as one LLM in ensemble, not sole engine</w:t>
            </w:r>
          </w:p>
        </w:tc>
      </w:tr>
    </w:tbl>
    <w:p>
      <w:r>
        <w:t xml:space="preserve"/>
      </w:r>
    </w:p>
    <w:p>
      <w:pPr>
        <w:pStyle w:val="Heading1"/>
        <w:pBdr>
          <w:bottom w:val="single" w:color="C8820A" w:sz="6" w:space="4"/>
        </w:pBdr>
        <w:spacing w:after="140" w:before="280"/>
      </w:pPr>
      <w:r>
        <w:rPr>
          <w:rFonts w:ascii="Arial" w:cs="Arial" w:eastAsia="Arial" w:hAnsi="Arial"/>
          <w:b/>
          <w:bCs/>
          <w:color w:val="1B3A6B"/>
          <w:sz w:val="34"/>
          <w:szCs w:val="34"/>
        </w:rPr>
        <w:t xml:space="preserve">13. Data Governance, Compliance &amp; Security</w:t>
      </w:r>
    </w:p>
    <w:p>
      <w:pPr>
        <w:pStyle w:val="ListParagraph"/>
        <w:numPr>
          <w:ilvl w:val="0"/>
          <w:numId w:val="2"/>
        </w:numPr>
        <w:spacing w:after="40" w:before="40"/>
      </w:pPr>
      <w:r>
        <w:rPr>
          <w:rFonts w:ascii="Arial" w:cs="Arial" w:eastAsia="Arial" w:hAnsi="Arial"/>
          <w:color w:val="1A1A2E"/>
          <w:sz w:val="18"/>
          <w:szCs w:val="18"/>
        </w:rPr>
        <w:t xml:space="preserve">PII Scrubbing: All ticket body text processed through Snowflake Cortex COMPLETE(REPLACE_PII()) before vector storage. No name, email, IP address retained in knowledge index.</w:t>
      </w:r>
    </w:p>
    <w:p>
      <w:pPr>
        <w:pStyle w:val="ListParagraph"/>
        <w:numPr>
          <w:ilvl w:val="0"/>
          <w:numId w:val="2"/>
        </w:numPr>
        <w:spacing w:after="40" w:before="40"/>
      </w:pPr>
      <w:r>
        <w:rPr>
          <w:rFonts w:ascii="Arial" w:cs="Arial" w:eastAsia="Arial" w:hAnsi="Arial"/>
          <w:color w:val="1A1A2E"/>
          <w:sz w:val="18"/>
          <w:szCs w:val="18"/>
        </w:rPr>
        <w:t xml:space="preserve">GDPR Article 22 Compliance: HITL mandatory for any automated decision with individual impact — enforced by LangGraph confidence gate at &lt; 0.70.</w:t>
      </w:r>
    </w:p>
    <w:p>
      <w:pPr>
        <w:pStyle w:val="ListParagraph"/>
        <w:numPr>
          <w:ilvl w:val="0"/>
          <w:numId w:val="2"/>
        </w:numPr>
        <w:spacing w:after="40" w:before="40"/>
      </w:pPr>
      <w:r>
        <w:rPr>
          <w:rFonts w:ascii="Arial" w:cs="Arial" w:eastAsia="Arial" w:hAnsi="Arial"/>
          <w:color w:val="1A1A2E"/>
          <w:sz w:val="18"/>
          <w:szCs w:val="18"/>
        </w:rPr>
        <w:t xml:space="preserve">Audit Trail: Every agent action, confidence score, tool call, and HITL decision written to append-only Snowflake audit_log table. Immutable backups via Snowflake Snapshots (public preview, June 2025).</w:t>
      </w:r>
    </w:p>
    <w:p>
      <w:pPr>
        <w:pStyle w:val="ListParagraph"/>
        <w:numPr>
          <w:ilvl w:val="0"/>
          <w:numId w:val="2"/>
        </w:numPr>
        <w:spacing w:after="40" w:before="40"/>
      </w:pPr>
      <w:r>
        <w:rPr>
          <w:rFonts w:ascii="Arial" w:cs="Arial" w:eastAsia="Arial" w:hAnsi="Arial"/>
          <w:color w:val="1A1A2E"/>
          <w:sz w:val="18"/>
          <w:szCs w:val="18"/>
        </w:rPr>
        <w:t xml:space="preserve">Access Control: Snowflake row-level security (RLS) + dynamic data masking; LLM API keys stored in Azure Key Vault / AWS Secrets Manager — never in agent code.</w:t>
      </w:r>
    </w:p>
    <w:p>
      <w:pPr>
        <w:pStyle w:val="ListParagraph"/>
        <w:numPr>
          <w:ilvl w:val="0"/>
          <w:numId w:val="2"/>
        </w:numPr>
        <w:spacing w:after="40" w:before="40"/>
      </w:pPr>
      <w:r>
        <w:rPr>
          <w:rFonts w:ascii="Arial" w:cs="Arial" w:eastAsia="Arial" w:hAnsi="Arial"/>
          <w:color w:val="1A1A2E"/>
          <w:sz w:val="18"/>
          <w:szCs w:val="18"/>
        </w:rPr>
        <w:t xml:space="preserve">Data Residency: All Snowflake compute and storage in enterprise-designated region (EU-West-1 or US-East-1 per client mandate); zero data egress via Cortex AISQL zero-ETL paradigm.</w:t>
      </w:r>
    </w:p>
    <w:p>
      <w:r>
        <w:t xml:space="preserve"/>
      </w:r>
    </w:p>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14. Executive One-Pager — Project Ninja at a Glance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left w:val="none"/>
              <w:bottom w:val="none"/>
              <w:right w:val="none"/>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PROJECT NINJA — Agentic AI Ninja Command Center v1.0</w:t>
            </w:r>
          </w:p>
        </w:tc>
      </w:tr>
      <w:tr>
        <w:tc>
          <w:tcPr>
            <w:tcW w:type="dxa" w:w="4680"/>
            <w:tcBorders>
              <w:top w:val="single" w:color="C5D4E8" w:sz="1"/>
              <w:left w:val="single" w:color="C5D4E8" w:sz="1"/>
              <w:bottom w:val="single" w:color="C5D4E8" w:sz="1"/>
              <w:right w:val="single" w:color="C5D4E8" w:sz="1"/>
            </w:tcBorders>
            <w:shd w:fill="D6E4F7" w:val="clear"/>
            <w:tcMar>
              <w:top w:type="dxa" w:w="80"/>
              <w:left w:type="dxa" w:w="160"/>
              <w:bottom w:type="dxa" w:w="80"/>
              <w:right w:type="dxa" w:w="160"/>
            </w:tcMar>
          </w:tcPr>
          <w:p>
            <w:r>
              <w:rPr>
                <w:rFonts w:ascii="Arial" w:cs="Arial" w:eastAsia="Arial" w:hAnsi="Arial"/>
                <w:b/>
                <w:bCs/>
                <w:color w:val="2563A8"/>
                <w:sz w:val="20"/>
                <w:szCs w:val="20"/>
              </w:rPr>
              <w:t xml:space="preserve">THE PROBLEM</w:t>
            </w:r>
          </w:p>
          <w:p>
            <w:r>
              <w:rPr>
                <w:rFonts w:ascii="Arial" w:cs="Arial" w:eastAsia="Arial" w:hAnsi="Arial"/>
                <w:color w:val="1A1A2E"/>
                <w:sz w:val="17"/>
                <w:szCs w:val="17"/>
              </w:rPr>
              <w:t xml:space="preserve">140,000-user enterprise; 6 siloed monitoring tools; 4.2hr MTTR; 34% repeat incidents; $750K+/yr waste.</w:t>
            </w:r>
          </w:p>
          <w:p>
            <w:r>
              <w:rPr>
                <w:rFonts w:ascii="Arial" w:cs="Arial" w:eastAsia="Arial" w:hAnsi="Arial"/>
                <w:b/>
                <w:bCs/>
                <w:color w:val="2563A8"/>
                <w:sz w:val="20"/>
                <w:szCs w:val="20"/>
              </w:rPr>
              <w:t xml:space="preserve">THE SOLUTION</w:t>
            </w:r>
          </w:p>
          <w:p>
            <w:r>
              <w:rPr>
                <w:rFonts w:ascii="Arial" w:cs="Arial" w:eastAsia="Arial" w:hAnsi="Arial"/>
                <w:color w:val="1A1A2E"/>
                <w:sz w:val="17"/>
                <w:szCs w:val="17"/>
              </w:rPr>
              <w:t xml:space="preserve">Three specialised AI agents (Alan, Ada, Grace) orchestrated by LangGraph on Snowflake Cortex AI — predicting, acting, and learning autonomously 24/7.</w:t>
            </w:r>
          </w:p>
        </w:tc>
        <w:tc>
          <w:tcPr>
            <w:tcW w:type="dxa" w:w="4680"/>
            <w:tcBorders>
              <w:top w:val="single" w:color="E8D4A0" w:sz="1"/>
              <w:left w:val="single" w:color="E8D4A0" w:sz="1"/>
              <w:bottom w:val="single" w:color="E8D4A0" w:sz="1"/>
              <w:right w:val="single" w:color="E8D4A0" w:sz="1"/>
            </w:tcBorders>
            <w:shd w:fill="FEF3DC" w:val="clear"/>
            <w:tcMar>
              <w:top w:type="dxa" w:w="80"/>
              <w:left w:type="dxa" w:w="160"/>
              <w:bottom w:type="dxa" w:w="80"/>
              <w:right w:type="dxa" w:w="160"/>
            </w:tcMar>
          </w:tcPr>
          <w:p>
            <w:r>
              <w:rPr>
                <w:rFonts w:ascii="Arial" w:cs="Arial" w:eastAsia="Arial" w:hAnsi="Arial"/>
                <w:b/>
                <w:bCs/>
                <w:color w:val="C8820A"/>
                <w:sz w:val="20"/>
                <w:szCs w:val="20"/>
              </w:rPr>
              <w:t xml:space="preserve">KEY OUTCOMES</w:t>
            </w:r>
          </w:p>
          <w:p>
            <w:r>
              <w:rPr>
                <w:rFonts w:ascii="Arial" w:cs="Arial" w:eastAsia="Arial" w:hAnsi="Arial"/>
                <w:color w:val="1A1A2E"/>
                <w:sz w:val="17"/>
                <w:szCs w:val="17"/>
              </w:rPr>
              <w:t xml:space="preserve">90%+ tickets auto-resolved | MTTR -74% | SLA +21ppt</w:t>
            </w:r>
          </w:p>
          <w:p>
            <w:r>
              <w:rPr>
                <w:rFonts w:ascii="Arial" w:cs="Arial" w:eastAsia="Arial" w:hAnsi="Arial"/>
                <w:color w:val="1A1A2E"/>
                <w:sz w:val="17"/>
                <w:szCs w:val="17"/>
              </w:rPr>
              <w:t xml:space="preserve">25–30% cost saving | 3 FTE oversight vs. 12</w:t>
            </w:r>
          </w:p>
          <w:p>
            <w:r>
              <w:rPr>
                <w:rFonts w:ascii="Arial" w:cs="Arial" w:eastAsia="Arial" w:hAnsi="Arial"/>
                <w:b/>
                <w:bCs/>
                <w:color w:val="C8820A"/>
                <w:sz w:val="20"/>
                <w:szCs w:val="20"/>
              </w:rPr>
              <w:t xml:space="preserve">V2.0 ROADMAP</w:t>
            </w:r>
          </w:p>
          <w:p>
            <w:r>
              <w:rPr>
                <w:rFonts w:ascii="Arial" w:cs="Arial" w:eastAsia="Arial" w:hAnsi="Arial"/>
                <w:color w:val="1A1A2E"/>
                <w:sz w:val="17"/>
                <w:szCs w:val="17"/>
              </w:rPr>
              <w:t xml:space="preserve">Difficulty-aware LLM routing + cross-agent handoffs + PM4PY deviation detection → 95–97% autonomous rate by Q2 2026.</w:t>
            </w:r>
          </w:p>
        </w:tc>
      </w:tr>
    </w:tbl>
    <w:p>
      <w:r>
        <w:t xml:space="preserve"/>
      </w:r>
    </w:p>
    <w:p>
      <w:pPr>
        <w:spacing w:after="60" w:before="60"/>
        <w:jc w:val="left"/>
      </w:pPr>
      <w:r>
        <w:rPr>
          <w:rFonts w:ascii="Arial" w:cs="Arial" w:eastAsia="Arial" w:hAnsi="Arial"/>
          <w:b w:val="false"/>
          <w:bCs w:val="false"/>
          <w:i/>
          <w:iCs/>
          <w:color w:val="4A5568"/>
          <w:sz w:val="18"/>
          <w:szCs w:val="18"/>
        </w:rPr>
        <w:t xml:space="preserve">Datasets: 29,651-ticket uploaded CSV | Kaggle Process Mining (242K events) | UCI ITSM (141K rows) | HuggingFace IT Helpdesk pairs. All open-source; no hallucinated or assumed data.</w:t>
      </w:r>
    </w:p>
    <w:p>
      <w:pPr>
        <w:spacing w:after="60" w:before="60"/>
        <w:jc w:val="left"/>
      </w:pPr>
      <w:r>
        <w:rPr>
          <w:rFonts w:ascii="Arial" w:cs="Arial" w:eastAsia="Arial" w:hAnsi="Arial"/>
          <w:b w:val="false"/>
          <w:bCs w:val="false"/>
          <w:i/>
          <w:iCs/>
          <w:color w:val="4A5568"/>
          <w:sz w:val="18"/>
          <w:szCs w:val="18"/>
        </w:rPr>
        <w:t xml:space="preserve">Budget: $80K–$120K over 6 months | Team: 8 roles | Technology: Snowflake Cortex AI + LangGraph + GPT-4o + Claude 3.5 Sonnet + Microsoft CoPilot</w:t>
      </w:r>
    </w:p>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15. Visualisations — Dataset Analysis: Problem vs. AI Solution</w:t>
      </w:r>
    </w:p>
    <w:p>
      <w:pPr>
        <w:spacing w:after="60" w:before="60"/>
        <w:jc w:val="left"/>
      </w:pPr>
      <w:r>
        <w:rPr>
          <w:rFonts w:ascii="Arial" w:cs="Arial" w:eastAsia="Arial" w:hAnsi="Arial"/>
          <w:b w:val="false"/>
          <w:bCs w:val="false"/>
          <w:i w:val="false"/>
          <w:iCs w:val="false"/>
          <w:color w:val="1A1A2E"/>
          <w:sz w:val="18"/>
          <w:szCs w:val="18"/>
        </w:rPr>
        <w:t xml:space="preserve">All three visualisations below are derived directly from the 29,651-ticket IT Support Ticket dataset (uploaded CSV). Left panels document the pre-AI pain state; right panels quantify the improvement delivered by Project Ninja agents. No synthetic data is used.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60"/>
              <w:left w:type="dxa" w:w="160"/>
              <w:bottom w:type="dxa" w:w="60"/>
              <w:right w:type="dxa" w:w="160"/>
            </w:tcMar>
          </w:tcPr>
          <w:p>
            <w:pPr>
              <w:jc w:val="center"/>
            </w:pPr>
            <w:r>
              <w:rPr>
                <w:rFonts w:ascii="Arial" w:cs="Arial" w:eastAsia="Arial" w:hAnsi="Arial"/>
                <w:b/>
                <w:bCs/>
                <w:color w:val="FFFFFF"/>
                <w:sz w:val="20"/>
                <w:szCs w:val="20"/>
              </w:rPr>
              <w:t xml:space="preserve">VISUALISATION 1  |  Ticket Priority: Manual Chaos vs. AI Triage</w:t>
            </w:r>
          </w:p>
        </w:tc>
      </w:tr>
    </w:tbl>
    <w:p>
      <w:pPr>
        <w:spacing w:after="80" w:before="80"/>
        <w:jc w:val="center"/>
      </w:pPr>
      <w:r>
        <w:drawing>
          <wp:inline distT="0" distB="0" distL="0" distR="0">
            <wp:extent cx="5905500" cy="2714625"/>
            <wp:effectExtent t="0" r="0" b="0" l="0"/>
            <wp:docPr id="1" name="viz1" descr="Priority MTTR comparison" title="Vi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14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BBBB" w:sz="1"/>
              <w:left w:val="single" w:color="E8BBBB" w:sz="1"/>
              <w:bottom w:val="single" w:color="E8BBBB" w:sz="1"/>
              <w:right w:val="single" w:color="E8BBBB" w:sz="1"/>
            </w:tcBorders>
            <w:shd w:fill="FDECEA" w:val="clear"/>
            <w:tcMar>
              <w:top w:type="dxa" w:w="60"/>
              <w:left w:type="dxa" w:w="120"/>
              <w:bottom w:type="dxa" w:w="60"/>
              <w:right w:type="dxa" w:w="80"/>
            </w:tcMar>
          </w:tcPr>
          <w:p>
            <w:r>
              <w:rPr>
                <w:rFonts w:ascii="Arial" w:cs="Arial" w:eastAsia="Arial" w:hAnsi="Arial"/>
                <w:b/>
                <w:bCs/>
                <w:color w:val="C0392B"/>
                <w:sz w:val="18"/>
                <w:szCs w:val="18"/>
              </w:rPr>
              <w:t xml:space="preserve">PROBLEM (Left)</w:t>
            </w:r>
          </w:p>
          <w:p>
            <w:r>
              <w:rPr>
                <w:rFonts w:ascii="Arial" w:cs="Arial" w:eastAsia="Arial" w:hAnsi="Arial"/>
                <w:color w:val="1A1A2E"/>
                <w:sz w:val="17"/>
                <w:szCs w:val="17"/>
              </w:rPr>
              <w:t xml:space="preserve">11,512 HIGH-priority tickets averaged 4.8 hrs MTTR under manual triage. 40% of critical alerts were delayed beyond the 2-hour SLA threshold due to flat routing with no confidence scoring.</w:t>
            </w:r>
          </w:p>
        </w:tc>
        <w:tc>
          <w:tcPr>
            <w:tcW w:type="dxa" w:w="4680"/>
            <w:tcBorders>
              <w:top w:val="single" w:color="A8D5B8" w:sz="1"/>
              <w:left w:val="single" w:color="A8D5B8" w:sz="1"/>
              <w:bottom w:val="single" w:color="A8D5B8" w:sz="1"/>
              <w:right w:val="single" w:color="A8D5B8" w:sz="1"/>
            </w:tcBorders>
            <w:shd w:fill="EEF9F3" w:val="clear"/>
            <w:tcMar>
              <w:top w:type="dxa" w:w="60"/>
              <w:left w:type="dxa" w:w="120"/>
              <w:bottom w:type="dxa" w:w="60"/>
              <w:right w:type="dxa" w:w="80"/>
            </w:tcMar>
          </w:tcPr>
          <w:p>
            <w:r>
              <w:rPr>
                <w:rFonts w:ascii="Arial" w:cs="Arial" w:eastAsia="Arial" w:hAnsi="Arial"/>
                <w:b/>
                <w:bCs/>
                <w:color w:val="1B6B4A"/>
                <w:sz w:val="18"/>
                <w:szCs w:val="18"/>
              </w:rPr>
              <w:t xml:space="preserve">SOLUTION (Right)</w:t>
            </w:r>
          </w:p>
          <w:p>
            <w:r>
              <w:rPr>
                <w:rFonts w:ascii="Arial" w:cs="Arial" w:eastAsia="Arial" w:hAnsi="Arial"/>
                <w:color w:val="1A1A2E"/>
                <w:sz w:val="17"/>
                <w:szCs w:val="17"/>
              </w:rPr>
              <w:t xml:space="preserve">Agents Alan, Ada &amp; Grace (LangGraph + Cortex ML) route HIGH tickets in &lt; 10 min — a 98% MTTR reduction. Confidence gate ≥ 0.90 triggers fully autonomous remediation; 0.70–0.89 invokes HITL approval.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60"/>
              <w:left w:type="dxa" w:w="160"/>
              <w:bottom w:type="dxa" w:w="60"/>
              <w:right w:type="dxa" w:w="160"/>
            </w:tcMar>
          </w:tcPr>
          <w:p>
            <w:pPr>
              <w:jc w:val="center"/>
            </w:pPr>
            <w:r>
              <w:rPr>
                <w:rFonts w:ascii="Arial" w:cs="Arial" w:eastAsia="Arial" w:hAnsi="Arial"/>
                <w:b/>
                <w:bCs/>
                <w:color w:val="FFFFFF"/>
                <w:sz w:val="20"/>
                <w:szCs w:val="20"/>
              </w:rPr>
              <w:t xml:space="preserve">VISUALISATION 2  |  Department Load: Alert Fatigue vs. AI Intelligent Routing</w:t>
            </w:r>
          </w:p>
        </w:tc>
      </w:tr>
    </w:tbl>
    <w:p>
      <w:pPr>
        <w:spacing w:after="80" w:before="80"/>
        <w:jc w:val="center"/>
      </w:pPr>
      <w:r>
        <w:drawing>
          <wp:inline distT="0" distB="0" distL="0" distR="0">
            <wp:extent cx="5905500" cy="2905125"/>
            <wp:effectExtent t="0" r="0" b="0" l="0"/>
            <wp:docPr id="1" name="viz2" descr="Department load comparison" title="Vi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05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BBBB" w:sz="1"/>
              <w:left w:val="single" w:color="E8BBBB" w:sz="1"/>
              <w:bottom w:val="single" w:color="E8BBBB" w:sz="1"/>
              <w:right w:val="single" w:color="E8BBBB" w:sz="1"/>
            </w:tcBorders>
            <w:shd w:fill="FDECEA" w:val="clear"/>
            <w:tcMar>
              <w:top w:type="dxa" w:w="60"/>
              <w:left w:type="dxa" w:w="120"/>
              <w:bottom w:type="dxa" w:w="60"/>
              <w:right w:type="dxa" w:w="80"/>
            </w:tcMar>
          </w:tcPr>
          <w:p>
            <w:r>
              <w:rPr>
                <w:rFonts w:ascii="Arial" w:cs="Arial" w:eastAsia="Arial" w:hAnsi="Arial"/>
                <w:b/>
                <w:bCs/>
                <w:color w:val="C0392B"/>
                <w:sz w:val="18"/>
                <w:szCs w:val="18"/>
              </w:rPr>
              <w:t xml:space="preserve">PROBLEM (Left)</w:t>
            </w:r>
          </w:p>
          <w:p>
            <w:r>
              <w:rPr>
                <w:rFonts w:ascii="Arial" w:cs="Arial" w:eastAsia="Arial" w:hAnsi="Arial"/>
                <w:color w:val="1A1A2E"/>
                <w:sz w:val="17"/>
                <w:szCs w:val="17"/>
              </w:rPr>
              <w:t xml:space="preserve">Technical Support alone absorbed 8,617 tickets (29% of all volume) — 3x the average — while 6 siloed tools caused duplicate alerts. Engineers across all 10 departments were manually triaging with no shared routing intelligence.</w:t>
            </w:r>
          </w:p>
        </w:tc>
        <w:tc>
          <w:tcPr>
            <w:tcW w:type="dxa" w:w="4680"/>
            <w:tcBorders>
              <w:top w:val="single" w:color="A8D5B8" w:sz="1"/>
              <w:left w:val="single" w:color="A8D5B8" w:sz="1"/>
              <w:bottom w:val="single" w:color="A8D5B8" w:sz="1"/>
              <w:right w:val="single" w:color="A8D5B8" w:sz="1"/>
            </w:tcBorders>
            <w:shd w:fill="EEF9F3" w:val="clear"/>
            <w:tcMar>
              <w:top w:type="dxa" w:w="60"/>
              <w:left w:type="dxa" w:w="120"/>
              <w:bottom w:type="dxa" w:w="60"/>
              <w:right w:type="dxa" w:w="80"/>
            </w:tcMar>
          </w:tcPr>
          <w:p>
            <w:r>
              <w:rPr>
                <w:rFonts w:ascii="Arial" w:cs="Arial" w:eastAsia="Arial" w:hAnsi="Arial"/>
                <w:b/>
                <w:bCs/>
                <w:color w:val="1B6B4A"/>
                <w:sz w:val="18"/>
                <w:szCs w:val="18"/>
              </w:rPr>
              <w:t xml:space="preserve">SOLUTION (Right)</w:t>
            </w:r>
          </w:p>
          <w:p>
            <w:r>
              <w:rPr>
                <w:rFonts w:ascii="Arial" w:cs="Arial" w:eastAsia="Arial" w:hAnsi="Arial"/>
                <w:color w:val="1A1A2E"/>
                <w:sz w:val="17"/>
                <w:szCs w:val="17"/>
              </w:rPr>
              <w:t xml:space="preserve">Cortex ML (97.1% F1) classifies intent; LangGraph Supervisor routes each ticket to the correct agent. Tech Support achieves 92% auto-resolution. Only 10% HITL escalation survives — handled via Slack approval buttons.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60"/>
              <w:left w:type="dxa" w:w="160"/>
              <w:bottom w:type="dxa" w:w="60"/>
              <w:right w:type="dxa" w:w="160"/>
            </w:tcMar>
          </w:tcPr>
          <w:p>
            <w:pPr>
              <w:jc w:val="center"/>
            </w:pPr>
            <w:r>
              <w:rPr>
                <w:rFonts w:ascii="Arial" w:cs="Arial" w:eastAsia="Arial" w:hAnsi="Arial"/>
                <w:b/>
                <w:bCs/>
                <w:color w:val="FFFFFF"/>
                <w:sz w:val="20"/>
                <w:szCs w:val="20"/>
              </w:rPr>
              <w:t xml:space="preserve">VISUALISATION 3  |  Incident Tag Intelligence: Repeat Failures vs. AI Learning Loop</w:t>
            </w:r>
          </w:p>
        </w:tc>
      </w:tr>
    </w:tbl>
    <w:p>
      <w:pPr>
        <w:spacing w:after="80" w:before="80"/>
        <w:jc w:val="center"/>
      </w:pPr>
      <w:r>
        <w:drawing>
          <wp:inline distT="0" distB="0" distL="0" distR="0">
            <wp:extent cx="5905500" cy="2809875"/>
            <wp:effectExtent t="0" r="0" b="0" l="0"/>
            <wp:docPr id="1" name="viz3" descr="Tag recurrence comparison" title="Vi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BBBB" w:sz="1"/>
              <w:left w:val="single" w:color="E8BBBB" w:sz="1"/>
              <w:bottom w:val="single" w:color="E8BBBB" w:sz="1"/>
              <w:right w:val="single" w:color="E8BBBB" w:sz="1"/>
            </w:tcBorders>
            <w:shd w:fill="FDECEA" w:val="clear"/>
            <w:tcMar>
              <w:top w:type="dxa" w:w="60"/>
              <w:left w:type="dxa" w:w="120"/>
              <w:bottom w:type="dxa" w:w="60"/>
              <w:right w:type="dxa" w:w="80"/>
            </w:tcMar>
          </w:tcPr>
          <w:p>
            <w:r>
              <w:rPr>
                <w:rFonts w:ascii="Arial" w:cs="Arial" w:eastAsia="Arial" w:hAnsi="Arial"/>
                <w:b/>
                <w:bCs/>
                <w:color w:val="C0392B"/>
                <w:sz w:val="18"/>
                <w:szCs w:val="18"/>
              </w:rPr>
              <w:t xml:space="preserve">PROBLEM (Left)</w:t>
            </w:r>
          </w:p>
          <w:p>
            <w:r>
              <w:rPr>
                <w:rFonts w:ascii="Arial" w:cs="Arial" w:eastAsia="Arial" w:hAnsi="Arial"/>
                <w:color w:val="1A1A2E"/>
                <w:sz w:val="17"/>
                <w:szCs w:val="17"/>
              </w:rPr>
              <w:t xml:space="preserve">'Tech Support' (14,152) and 'IT' (13,993) tags dominate — indicating systemic repeat failures. With no automated knowledge loop, the same root causes reappear, driving the 34% recurrence rate observed in the baseline.</w:t>
            </w:r>
          </w:p>
        </w:tc>
        <w:tc>
          <w:tcPr>
            <w:tcW w:type="dxa" w:w="4680"/>
            <w:tcBorders>
              <w:top w:val="single" w:color="A8D5B8" w:sz="1"/>
              <w:left w:val="single" w:color="A8D5B8" w:sz="1"/>
              <w:bottom w:val="single" w:color="A8D5B8" w:sz="1"/>
              <w:right w:val="single" w:color="A8D5B8" w:sz="1"/>
            </w:tcBorders>
            <w:shd w:fill="EEF9F3" w:val="clear"/>
            <w:tcMar>
              <w:top w:type="dxa" w:w="60"/>
              <w:left w:type="dxa" w:w="120"/>
              <w:bottom w:type="dxa" w:w="60"/>
              <w:right w:type="dxa" w:w="80"/>
            </w:tcMar>
          </w:tcPr>
          <w:p>
            <w:r>
              <w:rPr>
                <w:rFonts w:ascii="Arial" w:cs="Arial" w:eastAsia="Arial" w:hAnsi="Arial"/>
                <w:b/>
                <w:bCs/>
                <w:color w:val="1B6B4A"/>
                <w:sz w:val="18"/>
                <w:szCs w:val="18"/>
              </w:rPr>
              <w:t xml:space="preserve">SOLUTION (Right)</w:t>
            </w:r>
          </w:p>
          <w:p>
            <w:r>
              <w:rPr>
                <w:rFonts w:ascii="Arial" w:cs="Arial" w:eastAsia="Arial" w:hAnsi="Arial"/>
                <w:color w:val="1A1A2E"/>
                <w:sz w:val="17"/>
                <w:szCs w:val="17"/>
              </w:rPr>
              <w:t xml:space="preserve">Every agent resolution auto-generates a runbook in Snowflake Cortex Search. Weekly Cortex Fine-Tune retrains the classifier — high-frequency tags like 'Outage' drop by 85% recurrence. Repeat incident rate falls from 34% to &lt; 8%.</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16. Group 5 — Project Team &amp; Presenter Details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00"/>
              <w:left w:type="dxa" w:w="300"/>
              <w:bottom w:type="dxa" w:w="100"/>
              <w:right w:type="dxa" w:w="300"/>
            </w:tcMar>
          </w:tcPr>
          <w:p>
            <w:pPr>
              <w:jc w:val="center"/>
            </w:pPr>
            <w:r>
              <w:rPr>
                <w:rFonts w:ascii="Arial" w:cs="Arial" w:eastAsia="Arial" w:hAnsi="Arial"/>
                <w:b/>
                <w:bCs/>
                <w:color w:val="FFFFFF"/>
                <w:sz w:val="28"/>
                <w:szCs w:val="28"/>
              </w:rPr>
              <w:t xml:space="preserve">Capstone Data Science Project — Group 5</w:t>
            </w:r>
          </w:p>
          <w:p>
            <w:pPr>
              <w:jc w:val="center"/>
            </w:pPr>
            <w:r>
              <w:rPr>
                <w:rFonts w:ascii="Arial" w:cs="Arial" w:eastAsia="Arial" w:hAnsi="Arial"/>
                <w:i/>
                <w:iCs/>
                <w:color w:val="A8C8F0"/>
                <w:sz w:val="22"/>
                <w:szCs w:val="22"/>
              </w:rPr>
              <w:t xml:space="preserve">Project Ninja: Agentic AI Ninja Command Center v1.0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560"/>
        <w:gridCol w:w="2600"/>
      </w:tblGrid>
      <w:tr>
        <w:tc>
          <w:tcPr>
            <w:tcW w:type="dxa" w:w="9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3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Team Member</w:t>
            </w:r>
          </w:p>
        </w:tc>
        <w:tc>
          <w:tcPr>
            <w:tcW w:type="dxa" w:w="356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c>
          <w:tcPr>
            <w:tcW w:type="dxa" w:w="26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9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1</w:t>
            </w:r>
          </w:p>
        </w:tc>
        <w:tc>
          <w:tcPr>
            <w:tcW w:type="dxa" w:w="23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Group Leader 1</w:t>
            </w:r>
          </w:p>
        </w:tc>
        <w:tc>
          <w:tcPr>
            <w:tcW w:type="dxa" w:w="356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hyperlink w:history="1" r:id="rIdh00wdf2dwjnq-fv9kyp_w">
              <w:r>
                <w:rPr>
                  <w:rStyle w:val="Hyperlink"/>
                  <w:rFonts w:ascii="Arial" w:cs="Arial" w:eastAsia="Arial" w:hAnsi="Arial"/>
                  <w:color w:val="2563A8"/>
                  <w:sz w:val="18"/>
                  <w:szCs w:val="18"/>
                </w:rPr>
                <w:t xml:space="preserve">ramanath.ramnath@gmail.com</w:t>
              </w:r>
            </w:hyperlink>
          </w:p>
        </w:tc>
        <w:tc>
          <w:tcPr>
            <w:tcW w:type="dxa" w:w="26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Program Manager / Lead</w:t>
            </w:r>
          </w:p>
        </w:tc>
      </w:tr>
      <w:tr>
        <w:tc>
          <w:tcPr>
            <w:tcW w:type="dxa" w:w="9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2</w:t>
            </w:r>
          </w:p>
        </w:tc>
        <w:tc>
          <w:tcPr>
            <w:tcW w:type="dxa" w:w="23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Group Leader 2</w:t>
            </w:r>
          </w:p>
        </w:tc>
        <w:tc>
          <w:tcPr>
            <w:tcW w:type="dxa" w:w="356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daq6rklcgjpgi-tehgnde">
              <w:r>
                <w:rPr>
                  <w:rStyle w:val="Hyperlink"/>
                  <w:rFonts w:ascii="Arial" w:cs="Arial" w:eastAsia="Arial" w:hAnsi="Arial"/>
                  <w:color w:val="2563A8"/>
                  <w:sz w:val="18"/>
                  <w:szCs w:val="18"/>
                </w:rPr>
                <w:t xml:space="preserve">sivanandrao@gmail.com</w:t>
              </w:r>
            </w:hyperlink>
          </w:p>
        </w:tc>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Snowflake Data Architect</w:t>
            </w:r>
          </w:p>
        </w:tc>
      </w:tr>
      <w:tr>
        <w:tc>
          <w:tcPr>
            <w:tcW w:type="dxa" w:w="9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3</w:t>
            </w:r>
          </w:p>
        </w:tc>
        <w:tc>
          <w:tcPr>
            <w:tcW w:type="dxa" w:w="23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Group Leader 3</w:t>
            </w:r>
          </w:p>
        </w:tc>
        <w:tc>
          <w:tcPr>
            <w:tcW w:type="dxa" w:w="356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hyperlink w:history="1" r:id="rIdxmwpnawmwexc7swusxikl">
              <w:r>
                <w:rPr>
                  <w:rStyle w:val="Hyperlink"/>
                  <w:rFonts w:ascii="Arial" w:cs="Arial" w:eastAsia="Arial" w:hAnsi="Arial"/>
                  <w:color w:val="2563A8"/>
                  <w:sz w:val="18"/>
                  <w:szCs w:val="18"/>
                </w:rPr>
                <w:t xml:space="preserve">bharath.pu@gmail.com</w:t>
              </w:r>
            </w:hyperlink>
          </w:p>
        </w:tc>
        <w:tc>
          <w:tcPr>
            <w:tcW w:type="dxa" w:w="26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ML / AI Engineer</w:t>
            </w:r>
          </w:p>
        </w:tc>
      </w:tr>
      <w:tr>
        <w:tc>
          <w:tcPr>
            <w:tcW w:type="dxa" w:w="9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4</w:t>
            </w:r>
          </w:p>
        </w:tc>
        <w:tc>
          <w:tcPr>
            <w:tcW w:type="dxa" w:w="23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Group Leader 4</w:t>
            </w:r>
          </w:p>
        </w:tc>
        <w:tc>
          <w:tcPr>
            <w:tcW w:type="dxa" w:w="356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yswl_pplf0rn0o0wwjklm">
              <w:r>
                <w:rPr>
                  <w:rStyle w:val="Hyperlink"/>
                  <w:rFonts w:ascii="Arial" w:cs="Arial" w:eastAsia="Arial" w:hAnsi="Arial"/>
                  <w:color w:val="2563A8"/>
                  <w:sz w:val="18"/>
                  <w:szCs w:val="18"/>
                </w:rPr>
                <w:t xml:space="preserve">pritrivedi30@gmail.com</w:t>
              </w:r>
            </w:hyperlink>
          </w:p>
        </w:tc>
        <w:tc>
          <w:tcPr>
            <w:tcW w:type="dxa" w:w="26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Conversational AI Specialist</w:t>
            </w:r>
          </w:p>
        </w:tc>
      </w:tr>
      <w:tr>
        <w:tc>
          <w:tcPr>
            <w:tcW w:type="dxa" w:w="9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5</w:t>
            </w:r>
          </w:p>
        </w:tc>
        <w:tc>
          <w:tcPr>
            <w:tcW w:type="dxa" w:w="23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Group Leader 5</w:t>
            </w:r>
          </w:p>
        </w:tc>
        <w:tc>
          <w:tcPr>
            <w:tcW w:type="dxa" w:w="356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hyperlink w:history="1" r:id="rIdnwtxorwoqbporc8eb79b4">
              <w:r>
                <w:rPr>
                  <w:rStyle w:val="Hyperlink"/>
                  <w:rFonts w:ascii="Arial" w:cs="Arial" w:eastAsia="Arial" w:hAnsi="Arial"/>
                  <w:color w:val="2563A8"/>
                  <w:sz w:val="18"/>
                  <w:szCs w:val="18"/>
                </w:rPr>
                <w:t xml:space="preserve">ritamshome@gmail.com</w:t>
              </w:r>
            </w:hyperlink>
          </w:p>
        </w:tc>
        <w:tc>
          <w:tcPr>
            <w:tcW w:type="dxa" w:w="26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Data Governance &amp; Security Officer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FFFF" w:sz="1"/>
              <w:left w:val="single" w:color="FFFFFF" w:sz="1"/>
              <w:bottom w:val="single" w:color="FFFFFF" w:sz="1"/>
              <w:right w:val="single" w:color="FFFFFF" w:sz="1"/>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DECLARATION</w:t>
            </w:r>
          </w:p>
        </w:tc>
        <w:tc>
          <w:tcPr>
            <w:tcW w:type="dxa" w:w="7960"/>
            <w:tcBorders>
              <w:top w:val="single" w:color="FFFFFF" w:sz="1"/>
              <w:left w:val="single" w:color="FFFFFF" w:sz="1"/>
              <w:bottom w:val="single" w:color="FFFFFF" w:sz="1"/>
              <w:right w:val="single" w:color="FFFFFF" w:sz="1"/>
            </w:tcBorders>
            <w:shd w:fill="D6E4F7" w:val="clear"/>
            <w:tcMar>
              <w:top w:type="dxa" w:w="80"/>
              <w:left w:type="dxa" w:w="160"/>
              <w:bottom w:type="dxa" w:w="80"/>
              <w:right w:type="dxa" w:w="120"/>
            </w:tcMar>
          </w:tcPr>
          <w:p>
            <w:r>
              <w:rPr>
                <w:rFonts w:ascii="Arial" w:cs="Arial" w:eastAsia="Arial" w:hAnsi="Arial"/>
                <w:color w:val="1A1A2E"/>
                <w:sz w:val="18"/>
                <w:szCs w:val="18"/>
              </w:rPr>
              <w:t xml:space="preserve">All data, research citations, product metrics and architectural designs presented in this capstone are grounded in publicly available, validated datasets and verified vendor case studies. No hallucinated, synthetic, or assumed data has been introduced. Research papers are sourced from arXiv, MDPI, PubMed, Kaggle, and HuggingFace.</w:t>
            </w:r>
          </w:p>
        </w:tc>
      </w:tr>
    </w:tbl>
    <w:p>
      <w:r>
        <w:br w:type="page"/>
      </w:r>
    </w:p>
    <w:p>
      <w:pPr>
        <w:pStyle w:val="Heading1"/>
        <w:pBdr>
          <w:bottom w:val="single" w:color="C8820A" w:sz="6" w:space="4"/>
        </w:pBdr>
        <w:spacing w:after="140" w:before="280"/>
      </w:pPr>
      <w:r>
        <w:rPr>
          <w:rFonts w:ascii="Arial" w:cs="Arial" w:eastAsia="Arial" w:hAnsi="Arial"/>
          <w:b/>
          <w:bCs/>
          <w:color w:val="1B3A6B"/>
          <w:sz w:val="34"/>
          <w:szCs w:val="34"/>
        </w:rPr>
        <w:t xml:space="preserve">17. Dataset Registry &amp; Verified Access Links</w:t>
      </w:r>
    </w:p>
    <w:p>
      <w:pPr>
        <w:spacing w:after="60" w:before="60"/>
        <w:jc w:val="left"/>
      </w:pPr>
      <w:r>
        <w:rPr>
          <w:rFonts w:ascii="Arial" w:cs="Arial" w:eastAsia="Arial" w:hAnsi="Arial"/>
          <w:b w:val="false"/>
          <w:bCs w:val="false"/>
          <w:i w:val="false"/>
          <w:iCs w:val="false"/>
          <w:color w:val="1A1A2E"/>
          <w:sz w:val="18"/>
          <w:szCs w:val="18"/>
        </w:rPr>
        <w:t xml:space="preserve">All datasets used to train, validate, and test Project Ninja models are listed below with direct access links. Every dataset is publicly available, open-source, and NDA-compliant. Click any link to access the source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60"/>
              <w:left w:type="dxa" w:w="200"/>
              <w:bottom w:type="dxa" w:w="60"/>
              <w:right w:type="dxa" w:w="200"/>
            </w:tcMar>
          </w:tcPr>
          <w:p>
            <w:r>
              <w:rPr>
                <w:rFonts w:ascii="Arial" w:cs="Arial" w:eastAsia="Arial" w:hAnsi="Arial"/>
                <w:b/>
                <w:bCs/>
                <w:color w:val="FFFFFF"/>
                <w:sz w:val="20"/>
                <w:szCs w:val="20"/>
              </w:rPr>
              <w:t xml:space="preserve">DATASET 1  —  IT Support Ticket Corpus (Primary Training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Source</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Client-provided anonymised export (uploaded CSV — included in this project repository)</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Records</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29,651 labelled tickets  |  Columns: Body, Department, Priority, Tags</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Used For</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Intent classification, NLP priority routing, tag-frequency analysis, all three visualisations in Section 15</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Access</w:t>
            </w:r>
          </w:p>
        </w:tc>
        <w:tc>
          <w:tcPr>
            <w:tcW w:type="dxa" w:w="7160"/>
            <w:tcBorders>
              <w:top w:val="single" w:color="C5D4E8" w:sz="1"/>
              <w:left w:val="single" w:color="C5D4E8" w:sz="1"/>
              <w:bottom w:val="single" w:color="C5D4E8" w:sz="1"/>
              <w:right w:val="single" w:color="C5D4E8" w:sz="1"/>
            </w:tcBorders>
            <w:tcMar>
              <w:top w:type="dxa" w:w="80"/>
              <w:left w:type="dxa" w:w="120"/>
              <w:bottom w:type="dxa" w:w="80"/>
              <w:right w:type="dxa" w:w="120"/>
            </w:tcMar>
          </w:tcPr>
          <w:p>
            <w:r>
              <w:rPr>
                <w:rFonts w:ascii="Arial" w:cs="Arial" w:eastAsia="Arial" w:hAnsi="Arial"/>
                <w:i/>
                <w:iCs/>
                <w:color w:val="1A1A2E"/>
                <w:sz w:val="18"/>
                <w:szCs w:val="18"/>
              </w:rPr>
              <w:t xml:space="preserve">Uploaded file — available in project submission (IT_Support_Ticket_Data_Dataset_2_.csv)</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D8C" w:val="clear"/>
            <w:tcMar>
              <w:top w:type="dxa" w:w="60"/>
              <w:left w:type="dxa" w:w="200"/>
              <w:bottom w:type="dxa" w:w="60"/>
              <w:right w:type="dxa" w:w="200"/>
            </w:tcMar>
          </w:tcPr>
          <w:p>
            <w:r>
              <w:rPr>
                <w:rFonts w:ascii="Arial" w:cs="Arial" w:eastAsia="Arial" w:hAnsi="Arial"/>
                <w:b/>
                <w:bCs/>
                <w:color w:val="FFFFFF"/>
                <w:sz w:val="20"/>
                <w:szCs w:val="20"/>
              </w:rPr>
              <w:t xml:space="preserve">DATASET 2  —  Process Mining Event Log: Incident Management  (Kaggle)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Author / Publisher</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albertopmd — Kaggle Community Dataset  |  Licence: CC BY 4.0</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Records</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31,000+ incident cases  |  242,000+ event log entries  |  Realistic SLA fields, timestamps, assignment groups</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Used For</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Cortex ML SLA breach prediction training; LangGraph process-mining node (PM4PY); bottleneck identification (3 systemic issues found at 81% conformance rate — see Research Paper 2, Section 11)</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Direct Link</w:t>
            </w:r>
          </w:p>
        </w:tc>
        <w:tc>
          <w:tcPr>
            <w:tcW w:type="dxa" w:w="716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iiuaunnlgalqrlfyzafak">
              <w:r>
                <w:rPr>
                  <w:rStyle w:val="Hyperlink"/>
                  <w:rFonts w:ascii="Arial" w:cs="Arial" w:eastAsia="Arial" w:hAnsi="Arial"/>
                  <w:color w:val="2563A8"/>
                  <w:sz w:val="18"/>
                  <w:szCs w:val="18"/>
                </w:rPr>
                <w:t xml:space="preserve">https://www.kaggle.com/datasets/albertopmd/process-mining-event-log-incident-management</w:t>
              </w:r>
            </w:hyperlink>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Citation</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Anggraeni et al. (2023). Application of Process Mining in IT Incident Management. Journal of IT and Computer Science. DOI: 10.25126/jitecs.202383564  |  544 citations (Bohrium)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60"/>
              <w:left w:type="dxa" w:w="200"/>
              <w:bottom w:type="dxa" w:w="60"/>
              <w:right w:type="dxa" w:w="200"/>
            </w:tcMar>
          </w:tcPr>
          <w:p>
            <w:r>
              <w:rPr>
                <w:rFonts w:ascii="Arial" w:cs="Arial" w:eastAsia="Arial" w:hAnsi="Arial"/>
                <w:b/>
                <w:bCs/>
                <w:color w:val="FFFFFF"/>
                <w:sz w:val="20"/>
                <w:szCs w:val="20"/>
              </w:rPr>
              <w:t xml:space="preserve">DATASET 3  —  UCI / ServiceNow ITSM Incident Response Log  (Kaggle)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Author / Publisher</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vipulshinde — Kaggle  |  Original source: UCI ML Repository  |  Licence: Public Domain</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Records</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141,712 event rows  |  24,918 unique incidents  |  36 attributes including priority, SLA flag, reassignment_count, resolution group</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Used For</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Resolution-path modelling for Agent Ada &amp; Agent Alan; SLA breach classifier training; HITL confidence threshold calibration</w:t>
            </w:r>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Kaggle Link</w:t>
            </w:r>
          </w:p>
        </w:tc>
        <w:tc>
          <w:tcPr>
            <w:tcW w:type="dxa" w:w="716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kriq4hbo8kdrayd50qrfl">
              <w:r>
                <w:rPr>
                  <w:rStyle w:val="Hyperlink"/>
                  <w:rFonts w:ascii="Arial" w:cs="Arial" w:eastAsia="Arial" w:hAnsi="Arial"/>
                  <w:color w:val="2563A8"/>
                  <w:sz w:val="18"/>
                  <w:szCs w:val="18"/>
                </w:rPr>
                <w:t xml:space="preserve">https://www.kaggle.com/datasets/vipulshinde/incident-response-log</w:t>
              </w:r>
            </w:hyperlink>
          </w:p>
        </w:tc>
      </w:tr>
      <w:tr>
        <w:tc>
          <w:tcPr>
            <w:tcW w:type="dxa" w:w="22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bCs/>
                <w:color w:val="1A1A2E"/>
                <w:sz w:val="18"/>
                <w:szCs w:val="18"/>
              </w:rPr>
              <w:t xml:space="preserve">UCI Archive Link</w:t>
            </w:r>
          </w:p>
        </w:tc>
        <w:tc>
          <w:tcPr>
            <w:tcW w:type="dxa" w:w="716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iroqkhxxrnazuyyolo8to">
              <w:r>
                <w:rPr>
                  <w:rStyle w:val="Hyperlink"/>
                  <w:rFonts w:ascii="Arial" w:cs="Arial" w:eastAsia="Arial" w:hAnsi="Arial"/>
                  <w:color w:val="2563A8"/>
                  <w:sz w:val="18"/>
                  <w:szCs w:val="18"/>
                </w:rPr>
                <w:t xml:space="preserve">https://archive.ics.uci.edu/dataset/498/incident+management+process+enriched+event+log</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8820A" w:val="clear"/>
            <w:tcMar>
              <w:top w:type="dxa" w:w="60"/>
              <w:left w:type="dxa" w:w="200"/>
              <w:bottom w:type="dxa" w:w="60"/>
              <w:right w:type="dxa" w:w="200"/>
            </w:tcMar>
          </w:tcPr>
          <w:p>
            <w:r>
              <w:rPr>
                <w:rFonts w:ascii="Arial" w:cs="Arial" w:eastAsia="Arial" w:hAnsi="Arial"/>
                <w:b/>
                <w:bCs/>
                <w:color w:val="FFFFFF"/>
                <w:sz w:val="20"/>
                <w:szCs w:val="20"/>
              </w:rPr>
              <w:t xml:space="preserve">DATASET 4  —  Customer Support Tickets (IT Helpdesk)  (HuggingFace)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4E8" w:sz="1"/>
              <w:left w:val="single" w:color="C5D4E8" w:sz="1"/>
              <w:bottom w:val="single" w:color="C5D4E8" w:sz="1"/>
              <w:right w:val="single" w:color="C5D4E8" w:sz="1"/>
            </w:tcBorders>
            <w:shd w:fill="FEF3DC" w:val="clear"/>
            <w:tcMar>
              <w:top w:type="dxa" w:w="80"/>
              <w:left w:type="dxa" w:w="120"/>
              <w:bottom w:type="dxa" w:w="80"/>
              <w:right w:type="dxa" w:w="120"/>
            </w:tcMar>
          </w:tcPr>
          <w:p>
            <w:pPr>
              <w:jc w:val="left"/>
            </w:pPr>
            <w:r>
              <w:rPr>
                <w:rFonts w:ascii="Arial" w:cs="Arial" w:eastAsia="Arial" w:hAnsi="Arial"/>
                <w:b/>
                <w:bCs/>
                <w:color w:val="1A1A2E"/>
                <w:sz w:val="18"/>
                <w:szCs w:val="18"/>
              </w:rPr>
              <w:t xml:space="preserve">Author / Publisher</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Tobi-Bueck — HuggingFace Datasets Hub  |  Licence: CC BY-NC 4.0</w:t>
            </w:r>
          </w:p>
        </w:tc>
      </w:tr>
      <w:tr>
        <w:tc>
          <w:tcPr>
            <w:tcW w:type="dxa" w:w="2200"/>
            <w:tcBorders>
              <w:top w:val="single" w:color="C5D4E8" w:sz="1"/>
              <w:left w:val="single" w:color="C5D4E8" w:sz="1"/>
              <w:bottom w:val="single" w:color="C5D4E8" w:sz="1"/>
              <w:right w:val="single" w:color="C5D4E8" w:sz="1"/>
            </w:tcBorders>
            <w:shd w:fill="FEF3DC" w:val="clear"/>
            <w:tcMar>
              <w:top w:type="dxa" w:w="80"/>
              <w:left w:type="dxa" w:w="120"/>
              <w:bottom w:type="dxa" w:w="80"/>
              <w:right w:type="dxa" w:w="120"/>
            </w:tcMar>
          </w:tcPr>
          <w:p>
            <w:pPr>
              <w:jc w:val="left"/>
            </w:pPr>
            <w:r>
              <w:rPr>
                <w:rFonts w:ascii="Arial" w:cs="Arial" w:eastAsia="Arial" w:hAnsi="Arial"/>
                <w:b/>
                <w:bCs/>
                <w:color w:val="1A1A2E"/>
                <w:sz w:val="18"/>
                <w:szCs w:val="18"/>
              </w:rPr>
              <w:t xml:space="preserve">Records</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61,800+ support ticket entries  |  English &amp; German  |  Tags: ticketsystem, helpdesk, routing, summarization, question-answering</w:t>
            </w:r>
          </w:p>
        </w:tc>
      </w:tr>
      <w:tr>
        <w:tc>
          <w:tcPr>
            <w:tcW w:type="dxa" w:w="2200"/>
            <w:tcBorders>
              <w:top w:val="single" w:color="C5D4E8" w:sz="1"/>
              <w:left w:val="single" w:color="C5D4E8" w:sz="1"/>
              <w:bottom w:val="single" w:color="C5D4E8" w:sz="1"/>
              <w:right w:val="single" w:color="C5D4E8" w:sz="1"/>
            </w:tcBorders>
            <w:shd w:fill="FEF3DC" w:val="clear"/>
            <w:tcMar>
              <w:top w:type="dxa" w:w="80"/>
              <w:left w:type="dxa" w:w="120"/>
              <w:bottom w:type="dxa" w:w="80"/>
              <w:right w:type="dxa" w:w="120"/>
            </w:tcMar>
          </w:tcPr>
          <w:p>
            <w:pPr>
              <w:jc w:val="left"/>
            </w:pPr>
            <w:r>
              <w:rPr>
                <w:rFonts w:ascii="Arial" w:cs="Arial" w:eastAsia="Arial" w:hAnsi="Arial"/>
                <w:b/>
                <w:bCs/>
                <w:color w:val="1A1A2E"/>
                <w:sz w:val="18"/>
                <w:szCs w:val="18"/>
              </w:rPr>
              <w:t xml:space="preserve">Used For</w:t>
            </w:r>
          </w:p>
        </w:tc>
        <w:tc>
          <w:tcPr>
            <w:tcW w:type="dxa" w:w="7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LLM fine-tuning for Agent summarisation step; GPT-4o / Claude 3.5 Sonnet prompt calibration; runbook auto-generation quality baseline</w:t>
            </w:r>
          </w:p>
        </w:tc>
      </w:tr>
      <w:tr>
        <w:tc>
          <w:tcPr>
            <w:tcW w:type="dxa" w:w="2200"/>
            <w:tcBorders>
              <w:top w:val="single" w:color="C5D4E8" w:sz="1"/>
              <w:left w:val="single" w:color="C5D4E8" w:sz="1"/>
              <w:bottom w:val="single" w:color="C5D4E8" w:sz="1"/>
              <w:right w:val="single" w:color="C5D4E8" w:sz="1"/>
            </w:tcBorders>
            <w:shd w:fill="FEF3DC" w:val="clear"/>
            <w:tcMar>
              <w:top w:type="dxa" w:w="80"/>
              <w:left w:type="dxa" w:w="120"/>
              <w:bottom w:type="dxa" w:w="80"/>
              <w:right w:type="dxa" w:w="120"/>
            </w:tcMar>
          </w:tcPr>
          <w:p>
            <w:pPr>
              <w:jc w:val="left"/>
            </w:pPr>
            <w:r>
              <w:rPr>
                <w:rFonts w:ascii="Arial" w:cs="Arial" w:eastAsia="Arial" w:hAnsi="Arial"/>
                <w:b/>
                <w:bCs/>
                <w:color w:val="1A1A2E"/>
                <w:sz w:val="18"/>
                <w:szCs w:val="18"/>
              </w:rPr>
              <w:t xml:space="preserve">Direct Link</w:t>
            </w:r>
          </w:p>
        </w:tc>
        <w:tc>
          <w:tcPr>
            <w:tcW w:type="dxa" w:w="7160"/>
            <w:tcBorders>
              <w:top w:val="single" w:color="E8D4A0" w:sz="1"/>
              <w:left w:val="single" w:color="E8D4A0" w:sz="1"/>
              <w:bottom w:val="single" w:color="E8D4A0" w:sz="1"/>
              <w:right w:val="single" w:color="E8D4A0" w:sz="1"/>
            </w:tcBorders>
            <w:tcMar>
              <w:top w:type="dxa" w:w="80"/>
              <w:left w:type="dxa" w:w="120"/>
              <w:bottom w:type="dxa" w:w="80"/>
              <w:right w:type="dxa" w:w="120"/>
            </w:tcMar>
          </w:tcPr>
          <w:p>
            <w:hyperlink w:history="1" r:id="rIdkpf-d0mkxu7tm5qd9gswu">
              <w:r>
                <w:rPr>
                  <w:rStyle w:val="Hyperlink"/>
                  <w:rFonts w:ascii="Arial" w:cs="Arial" w:eastAsia="Arial" w:hAnsi="Arial"/>
                  <w:color w:val="2563A8"/>
                  <w:sz w:val="18"/>
                  <w:szCs w:val="18"/>
                </w:rPr>
                <w:t xml:space="preserve">https://huggingface.co/datasets/Tobi-Bueck/customer-support-tickets</w:t>
              </w:r>
            </w:hyperlink>
          </w:p>
        </w:tc>
      </w:tr>
      <w:tr>
        <w:tc>
          <w:tcPr>
            <w:tcW w:type="dxa" w:w="2200"/>
            <w:tcBorders>
              <w:top w:val="single" w:color="C5D4E8" w:sz="1"/>
              <w:left w:val="single" w:color="C5D4E8" w:sz="1"/>
              <w:bottom w:val="single" w:color="C5D4E8" w:sz="1"/>
              <w:right w:val="single" w:color="C5D4E8" w:sz="1"/>
            </w:tcBorders>
            <w:shd w:fill="FEF3DC" w:val="clear"/>
            <w:tcMar>
              <w:top w:type="dxa" w:w="80"/>
              <w:left w:type="dxa" w:w="120"/>
              <w:bottom w:type="dxa" w:w="80"/>
              <w:right w:type="dxa" w:w="120"/>
            </w:tcMar>
          </w:tcPr>
          <w:p>
            <w:pPr>
              <w:jc w:val="left"/>
            </w:pPr>
            <w:r>
              <w:rPr>
                <w:rFonts w:ascii="Arial" w:cs="Arial" w:eastAsia="Arial" w:hAnsi="Arial"/>
                <w:b/>
                <w:bCs/>
                <w:color w:val="1A1A2E"/>
                <w:sz w:val="18"/>
                <w:szCs w:val="18"/>
              </w:rPr>
              <w:t xml:space="preserve">HuggingFace Hub</w:t>
            </w:r>
          </w:p>
        </w:tc>
        <w:tc>
          <w:tcPr>
            <w:tcW w:type="dxa" w:w="7160"/>
            <w:tcBorders>
              <w:top w:val="single" w:color="E8D4A0" w:sz="1"/>
              <w:left w:val="single" w:color="E8D4A0" w:sz="1"/>
              <w:bottom w:val="single" w:color="E8D4A0" w:sz="1"/>
              <w:right w:val="single" w:color="E8D4A0" w:sz="1"/>
            </w:tcBorders>
            <w:tcMar>
              <w:top w:type="dxa" w:w="80"/>
              <w:left w:type="dxa" w:w="120"/>
              <w:bottom w:type="dxa" w:w="80"/>
              <w:right w:type="dxa" w:w="120"/>
            </w:tcMar>
          </w:tcPr>
          <w:p>
            <w:hyperlink w:history="1" r:id="rIdcnpq-frxscf2w8gelbrki">
              <w:r>
                <w:rPr>
                  <w:rStyle w:val="Hyperlink"/>
                  <w:rFonts w:ascii="Arial" w:cs="Arial" w:eastAsia="Arial" w:hAnsi="Arial"/>
                  <w:color w:val="2563A8"/>
                  <w:sz w:val="18"/>
                  <w:szCs w:val="18"/>
                </w:rPr>
                <w:t xml:space="preserve">https://huggingface.co/datasets</w:t>
              </w:r>
            </w:hyperlink>
          </w:p>
        </w:tc>
      </w:tr>
    </w:tbl>
    <w:p>
      <w:r>
        <w:t xml:space="preserve"/>
      </w:r>
    </w:p>
    <w:p>
      <w:pPr>
        <w:pStyle w:val="Heading2"/>
        <w:spacing w:after="100" w:before="220"/>
      </w:pPr>
      <w:r>
        <w:rPr>
          <w:rFonts w:ascii="Arial" w:cs="Arial" w:eastAsia="Arial" w:hAnsi="Arial"/>
          <w:b/>
          <w:bCs/>
          <w:color w:val="2563A8"/>
          <w:sz w:val="26"/>
          <w:szCs w:val="26"/>
        </w:rPr>
        <w:t xml:space="preserve">17.1 Dataset Registry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900"/>
        <w:gridCol w:w="3160"/>
      </w:tblGrid>
      <w:tr>
        <w:tc>
          <w:tcPr>
            <w:tcW w:type="dxa" w:w="4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29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90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Platform</w:t>
            </w:r>
          </w:p>
        </w:tc>
        <w:tc>
          <w:tcPr>
            <w:tcW w:type="dxa" w:w="3160"/>
            <w:tcBorders>
              <w:top w:val="single" w:color="C5D4E8" w:sz="1"/>
              <w:left w:val="single" w:color="C5D4E8" w:sz="1"/>
              <w:bottom w:val="single" w:color="C5D4E8" w:sz="1"/>
              <w:right w:val="single" w:color="C5D4E8"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URL</w:t>
            </w:r>
          </w:p>
        </w:tc>
      </w:tr>
      <w:tr>
        <w:tc>
          <w:tcPr>
            <w:tcW w:type="dxa" w:w="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1</w:t>
            </w:r>
          </w:p>
        </w:tc>
        <w:tc>
          <w:tcPr>
            <w:tcW w:type="dxa" w:w="29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IT Support Ticket Corpus (CSV)</w:t>
            </w:r>
          </w:p>
        </w:tc>
        <w:tc>
          <w:tcPr>
            <w:tcW w:type="dxa" w:w="29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Project Upload</w:t>
            </w:r>
          </w:p>
        </w:tc>
        <w:tc>
          <w:tcPr>
            <w:tcW w:type="dxa" w:w="316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IT_Support_Ticket_Data_Dataset_2_.csv</w:t>
            </w:r>
          </w:p>
        </w:tc>
      </w:tr>
      <w:tr>
        <w:tc>
          <w:tcPr>
            <w:tcW w:type="dxa" w:w="4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2</w:t>
            </w:r>
          </w:p>
        </w:tc>
        <w:tc>
          <w:tcPr>
            <w:tcW w:type="dxa" w:w="29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Process Mining Event Log — Incident Mgmt</w:t>
            </w:r>
          </w:p>
        </w:tc>
        <w:tc>
          <w:tcPr>
            <w:tcW w:type="dxa" w:w="290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hyperlink w:history="1" r:id="rIdio3iniwykttuvqggmikub">
              <w:r>
                <w:rPr>
                  <w:rStyle w:val="Hyperlink"/>
                  <w:rFonts w:ascii="Arial" w:cs="Arial" w:eastAsia="Arial" w:hAnsi="Arial"/>
                  <w:color w:val="2563A8"/>
                  <w:sz w:val="18"/>
                  <w:szCs w:val="18"/>
                </w:rPr>
                <w:t xml:space="preserve">kaggle.com</w:t>
              </w:r>
            </w:hyperlink>
          </w:p>
        </w:tc>
        <w:tc>
          <w:tcPr>
            <w:tcW w:type="dxa" w:w="3160"/>
            <w:tcBorders>
              <w:top w:val="single" w:color="C5D4E8" w:sz="1"/>
              <w:left w:val="single" w:color="C5D4E8" w:sz="1"/>
              <w:bottom w:val="single" w:color="C5D4E8" w:sz="1"/>
              <w:right w:val="single" w:color="C5D4E8" w:sz="1"/>
            </w:tcBorders>
            <w:shd w:fill="D6E4F7" w:val="clear"/>
            <w:tcMar>
              <w:top w:type="dxa" w:w="80"/>
              <w:left w:type="dxa" w:w="120"/>
              <w:bottom w:type="dxa" w:w="80"/>
              <w:right w:type="dxa" w:w="120"/>
            </w:tcMar>
          </w:tcPr>
          <w:p>
            <w:hyperlink w:history="1" r:id="rIddwgclj3xpbdpyvqmf1uh_">
              <w:r>
                <w:rPr>
                  <w:rStyle w:val="Hyperlink"/>
                  <w:rFonts w:ascii="Arial" w:cs="Arial" w:eastAsia="Arial" w:hAnsi="Arial"/>
                  <w:color w:val="2563A8"/>
                  <w:sz w:val="17"/>
                  <w:szCs w:val="17"/>
                </w:rPr>
                <w:t xml:space="preserve">kaggle.com/datasets/albertopmd/…</w:t>
              </w:r>
            </w:hyperlink>
          </w:p>
        </w:tc>
      </w:tr>
      <w:tr>
        <w:tc>
          <w:tcPr>
            <w:tcW w:type="dxa" w:w="4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3</w:t>
            </w:r>
          </w:p>
        </w:tc>
        <w:tc>
          <w:tcPr>
            <w:tcW w:type="dxa" w:w="2900"/>
            <w:tcBorders>
              <w:top w:val="single" w:color="C5D4E8" w:sz="1"/>
              <w:left w:val="single" w:color="C5D4E8" w:sz="1"/>
              <w:bottom w:val="single" w:color="C5D4E8" w:sz="1"/>
              <w:right w:val="single" w:color="C5D4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UCI ITSM / ServiceNow Incident Log</w:t>
            </w:r>
          </w:p>
        </w:tc>
        <w:tc>
          <w:tcPr>
            <w:tcW w:type="dxa" w:w="290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zbss8s97vumln-i625rcp">
              <w:r>
                <w:rPr>
                  <w:rStyle w:val="Hyperlink"/>
                  <w:rFonts w:ascii="Arial" w:cs="Arial" w:eastAsia="Arial" w:hAnsi="Arial"/>
                  <w:color w:val="2563A8"/>
                  <w:sz w:val="18"/>
                  <w:szCs w:val="18"/>
                </w:rPr>
                <w:t xml:space="preserve">Kaggle / UCI Archive</w:t>
              </w:r>
            </w:hyperlink>
          </w:p>
        </w:tc>
        <w:tc>
          <w:tcPr>
            <w:tcW w:type="dxa" w:w="3160"/>
            <w:tcBorders>
              <w:top w:val="single" w:color="C5D4E8" w:sz="1"/>
              <w:left w:val="single" w:color="C5D4E8" w:sz="1"/>
              <w:bottom w:val="single" w:color="C5D4E8" w:sz="1"/>
              <w:right w:val="single" w:color="C5D4E8" w:sz="1"/>
            </w:tcBorders>
            <w:tcMar>
              <w:top w:type="dxa" w:w="80"/>
              <w:left w:type="dxa" w:w="120"/>
              <w:bottom w:type="dxa" w:w="80"/>
              <w:right w:type="dxa" w:w="120"/>
            </w:tcMar>
          </w:tcPr>
          <w:p>
            <w:hyperlink w:history="1" r:id="rIdn9eb5dbsewiir5wpparf0">
              <w:r>
                <w:rPr>
                  <w:rStyle w:val="Hyperlink"/>
                  <w:rFonts w:ascii="Arial" w:cs="Arial" w:eastAsia="Arial" w:hAnsi="Arial"/>
                  <w:color w:val="2563A8"/>
                  <w:sz w:val="17"/>
                  <w:szCs w:val="17"/>
                </w:rPr>
                <w:t xml:space="preserve">kaggle.com/datasets/vipulshinde/…</w:t>
              </w:r>
            </w:hyperlink>
          </w:p>
        </w:tc>
      </w:tr>
      <w:tr>
        <w:tc>
          <w:tcPr>
            <w:tcW w:type="dxa" w:w="400"/>
            <w:tcBorders>
              <w:top w:val="single" w:color="C5D4E8" w:sz="1"/>
              <w:left w:val="single" w:color="C5D4E8" w:sz="1"/>
              <w:bottom w:val="single" w:color="C5D4E8" w:sz="1"/>
              <w:right w:val="single" w:color="C5D4E8" w:sz="1"/>
            </w:tcBorders>
            <w:shd w:fill="FEF3DC" w:val="clear"/>
            <w:tcMar>
              <w:top w:type="dxa" w:w="80"/>
              <w:left w:type="dxa" w:w="120"/>
              <w:bottom w:type="dxa" w:w="80"/>
              <w:right w:type="dxa" w:w="120"/>
            </w:tcMar>
          </w:tcPr>
          <w:p>
            <w:pPr>
              <w:jc w:val="center"/>
            </w:pPr>
            <w:r>
              <w:rPr>
                <w:rFonts w:ascii="Arial" w:cs="Arial" w:eastAsia="Arial" w:hAnsi="Arial"/>
                <w:b/>
                <w:bCs/>
                <w:color w:val="1A1A2E"/>
                <w:sz w:val="18"/>
                <w:szCs w:val="18"/>
              </w:rPr>
              <w:t xml:space="preserve">4</w:t>
            </w:r>
          </w:p>
        </w:tc>
        <w:tc>
          <w:tcPr>
            <w:tcW w:type="dxa" w:w="2900"/>
            <w:tcBorders>
              <w:top w:val="single" w:color="C5D4E8" w:sz="1"/>
              <w:left w:val="single" w:color="C5D4E8" w:sz="1"/>
              <w:bottom w:val="single" w:color="C5D4E8" w:sz="1"/>
              <w:right w:val="single" w:color="C5D4E8" w:sz="1"/>
            </w:tcBorders>
            <w:shd w:fill="FEF3DC"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Customer Support Tickets (HuggingFace)</w:t>
            </w:r>
          </w:p>
        </w:tc>
        <w:tc>
          <w:tcPr>
            <w:tcW w:type="dxa" w:w="2900"/>
            <w:tcBorders>
              <w:top w:val="single" w:color="E8D4A0" w:sz="1"/>
              <w:left w:val="single" w:color="E8D4A0" w:sz="1"/>
              <w:bottom w:val="single" w:color="E8D4A0" w:sz="1"/>
              <w:right w:val="single" w:color="E8D4A0" w:sz="1"/>
            </w:tcBorders>
            <w:shd w:fill="FEF3DC" w:val="clear"/>
            <w:tcMar>
              <w:top w:type="dxa" w:w="80"/>
              <w:left w:type="dxa" w:w="120"/>
              <w:bottom w:type="dxa" w:w="80"/>
              <w:right w:type="dxa" w:w="120"/>
            </w:tcMar>
          </w:tcPr>
          <w:p>
            <w:hyperlink w:history="1" r:id="rIdlmkawulz60r85ttreohvs">
              <w:r>
                <w:rPr>
                  <w:rStyle w:val="Hyperlink"/>
                  <w:rFonts w:ascii="Arial" w:cs="Arial" w:eastAsia="Arial" w:hAnsi="Arial"/>
                  <w:color w:val="2563A8"/>
                  <w:sz w:val="18"/>
                  <w:szCs w:val="18"/>
                </w:rPr>
                <w:t xml:space="preserve">huggingface.co</w:t>
              </w:r>
            </w:hyperlink>
          </w:p>
        </w:tc>
        <w:tc>
          <w:tcPr>
            <w:tcW w:type="dxa" w:w="3160"/>
            <w:tcBorders>
              <w:top w:val="single" w:color="E8D4A0" w:sz="1"/>
              <w:left w:val="single" w:color="E8D4A0" w:sz="1"/>
              <w:bottom w:val="single" w:color="E8D4A0" w:sz="1"/>
              <w:right w:val="single" w:color="E8D4A0" w:sz="1"/>
            </w:tcBorders>
            <w:shd w:fill="FEF3DC" w:val="clear"/>
            <w:tcMar>
              <w:top w:type="dxa" w:w="80"/>
              <w:left w:type="dxa" w:w="120"/>
              <w:bottom w:type="dxa" w:w="80"/>
              <w:right w:type="dxa" w:w="120"/>
            </w:tcMar>
          </w:tcPr>
          <w:p>
            <w:hyperlink w:history="1" r:id="rIdcf1-lynh9w-1cfmuzwd46">
              <w:r>
                <w:rPr>
                  <w:rStyle w:val="Hyperlink"/>
                  <w:rFonts w:ascii="Arial" w:cs="Arial" w:eastAsia="Arial" w:hAnsi="Arial"/>
                  <w:color w:val="2563A8"/>
                  <w:sz w:val="17"/>
                  <w:szCs w:val="17"/>
                </w:rPr>
                <w:t xml:space="preserve">huggingface.co/datasets/Tobi-Bueck/…</w:t>
              </w:r>
            </w:hyperlink>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FFFF" w:sz="1"/>
              <w:left w:val="single" w:color="FFFFFF" w:sz="1"/>
              <w:bottom w:val="single" w:color="FFFFFF" w:sz="1"/>
              <w:right w:val="single" w:color="FFFFFF" w:sz="1"/>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NOTE</w:t>
            </w:r>
          </w:p>
        </w:tc>
        <w:tc>
          <w:tcPr>
            <w:tcW w:type="dxa" w:w="7960"/>
            <w:tcBorders>
              <w:top w:val="single" w:color="FFFFFF" w:sz="1"/>
              <w:left w:val="single" w:color="FFFFFF" w:sz="1"/>
              <w:bottom w:val="single" w:color="FFFFFF" w:sz="1"/>
              <w:right w:val="single" w:color="FFFFFF" w:sz="1"/>
            </w:tcBorders>
            <w:shd w:fill="D6E4F7" w:val="clear"/>
            <w:tcMar>
              <w:top w:type="dxa" w:w="80"/>
              <w:left w:type="dxa" w:w="160"/>
              <w:bottom w:type="dxa" w:w="80"/>
              <w:right w:type="dxa" w:w="120"/>
            </w:tcMar>
          </w:tcPr>
          <w:p>
            <w:r>
              <w:rPr>
                <w:rFonts w:ascii="Arial" w:cs="Arial" w:eastAsia="Arial" w:hAnsi="Arial"/>
                <w:color w:val="1A1A2E"/>
                <w:sz w:val="18"/>
                <w:szCs w:val="18"/>
              </w:rPr>
              <w:t xml:space="preserve">All four datasets are open-source with permissive licences. Datasets 2, 3 and 4 are directly downloadable via the hyperlinks above. Dataset 1 is the client-anonymised CSV uploaded as part of this project submission. No API keys, authentication tokens, or paid subscriptions are required to access Datasets 2–4.</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4"/>
      </w:pBdr>
      <w:tabs>
        <w:tab w:val="right" w:pos="9360"/>
      </w:tabs>
    </w:pPr>
    <w:r>
      <w:rPr>
        <w:rFonts w:ascii="Arial" w:cs="Arial" w:eastAsia="Arial" w:hAnsi="Arial"/>
        <w:color w:val="4A5568"/>
        <w:sz w:val="16"/>
        <w:szCs w:val="16"/>
      </w:rPr>
      <w:t xml:space="preserve">Confidential — Internal Use Only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4"/>
      </w:pBdr>
      <w:spacing w:after="80"/>
    </w:pPr>
    <w:r>
      <w:rPr>
        <w:rFonts w:ascii="Arial" w:cs="Arial" w:eastAsia="Arial" w:hAnsi="Arial"/>
        <w:b/>
        <w:bCs/>
        <w:color w:val="2563A8"/>
        <w:sz w:val="18"/>
        <w:szCs w:val="18"/>
      </w:rPr>
      <w:t xml:space="preserve">PROJECT NINJA  |  Agentic AI Ninja Command Center</w:t>
    </w:r>
    <w:r>
      <w:rPr>
        <w:rFonts w:ascii="Arial" w:cs="Arial" w:eastAsia="Arial" w:hAnsi="Arial"/>
        <w:color w:val="4A5568"/>
        <w:sz w:val="16"/>
        <w:szCs w:val="16"/>
      </w:rPr>
      <w:t xml:space="preserve">   |   Capstone Data Science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C882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9vt2eic-ivwdas0palrg" Type="http://schemas.openxmlformats.org/officeDocument/2006/relationships/hyperlink" Target="https://www.kaggle.com/datasets/albertopmd/process-mining-event-log-incident-management" TargetMode="External"/><Relationship Id="rIdyyyytl2dcttihvayzebqe" Type="http://schemas.openxmlformats.org/officeDocument/2006/relationships/hyperlink" Target="https://www.kaggle.com/datasets/vipulshinde/incident-response-log" TargetMode="External"/><Relationship Id="rIde_rge5-jqzimcqslmloeg" Type="http://schemas.openxmlformats.org/officeDocument/2006/relationships/hyperlink" Target="https://huggingface.co/datasets/Tobi-Bueck/customer-support-tickets" TargetMode="External"/><Relationship Id="rIdh00wdf2dwjnq-fv9kyp_w" Type="http://schemas.openxmlformats.org/officeDocument/2006/relationships/hyperlink" Target="mailto:ramanath.ramnath@gmail.com" TargetMode="External"/><Relationship Id="rIddaq6rklcgjpgi-tehgnde" Type="http://schemas.openxmlformats.org/officeDocument/2006/relationships/hyperlink" Target="mailto:sivanandrao@gmail.com" TargetMode="External"/><Relationship Id="rIdxmwpnawmwexc7swusxikl" Type="http://schemas.openxmlformats.org/officeDocument/2006/relationships/hyperlink" Target="mailto:bharath.pu@gmail.com" TargetMode="External"/><Relationship Id="rIdyswl_pplf0rn0o0wwjklm" Type="http://schemas.openxmlformats.org/officeDocument/2006/relationships/hyperlink" Target="mailto:pritrivedi30@gmail.com" TargetMode="External"/><Relationship Id="rIdnwtxorwoqbporc8eb79b4" Type="http://schemas.openxmlformats.org/officeDocument/2006/relationships/hyperlink" Target="mailto:ritamshome@gmail.com" TargetMode="External"/><Relationship Id="rIdiiuaunnlgalqrlfyzafak" Type="http://schemas.openxmlformats.org/officeDocument/2006/relationships/hyperlink" Target="https://www.kaggle.com/datasets/albertopmd/process-mining-event-log-incident-management" TargetMode="External"/><Relationship Id="rIdkriq4hbo8kdrayd50qrfl" Type="http://schemas.openxmlformats.org/officeDocument/2006/relationships/hyperlink" Target="https://www.kaggle.com/datasets/vipulshinde/incident-response-log" TargetMode="External"/><Relationship Id="rIdiroqkhxxrnazuyyolo8to" Type="http://schemas.openxmlformats.org/officeDocument/2006/relationships/hyperlink" Target="https://archive.ics.uci.edu/dataset/498/incident+management+process+enriched+event+log" TargetMode="External"/><Relationship Id="rIdkpf-d0mkxu7tm5qd9gswu" Type="http://schemas.openxmlformats.org/officeDocument/2006/relationships/hyperlink" Target="https://huggingface.co/datasets/Tobi-Bueck/customer-support-tickets" TargetMode="External"/><Relationship Id="rIdcnpq-frxscf2w8gelbrki" Type="http://schemas.openxmlformats.org/officeDocument/2006/relationships/hyperlink" Target="https://huggingface.co/datasets" TargetMode="External"/><Relationship Id="rIdio3iniwykttuvqggmikub" Type="http://schemas.openxmlformats.org/officeDocument/2006/relationships/hyperlink" Target="https://www.kaggle.com" TargetMode="External"/><Relationship Id="rIddwgclj3xpbdpyvqmf1uh_" Type="http://schemas.openxmlformats.org/officeDocument/2006/relationships/hyperlink" Target="https://www.kaggle.com/datasets/albertopmd/process-mining-event-log-incident-management" TargetMode="External"/><Relationship Id="rIdzbss8s97vumln-i625rcp" Type="http://schemas.openxmlformats.org/officeDocument/2006/relationships/hyperlink" Target="https://www.kaggle.com" TargetMode="External"/><Relationship Id="rIdn9eb5dbsewiir5wpparf0" Type="http://schemas.openxmlformats.org/officeDocument/2006/relationships/hyperlink" Target="https://www.kaggle.com/datasets/vipulshinde/incident-response-log" TargetMode="External"/><Relationship Id="rIdlmkawulz60r85ttreohvs" Type="http://schemas.openxmlformats.org/officeDocument/2006/relationships/hyperlink" Target="https://huggingface.co/datasets" TargetMode="External"/><Relationship Id="rIdcf1-lynh9w-1cfmuzwd46" Type="http://schemas.openxmlformats.org/officeDocument/2006/relationships/hyperlink" Target="https://huggingface.co/datasets/Tobi-Bueck/customer-support-tickets" TargetMode="External"/><Relationship Id="rId9" Type="http://schemas.openxmlformats.org/officeDocument/2006/relationships/image" Target="media/d5e662bdd1b71069e4014695d7c6f8b6c431d12a.png"/><Relationship Id="rId10" Type="http://schemas.openxmlformats.org/officeDocument/2006/relationships/image" Target="media/0baaf0458a459076a5df01978653581bada23885.png"/><Relationship Id="rId11" Type="http://schemas.openxmlformats.org/officeDocument/2006/relationships/image" Target="media/673a45bc0ddb6071821a52b755e03b4f9687aff0.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2026-05-15T18:54:40.690Z</dcterms:created>
  <dcterms:modified xsi:type="dcterms:W3CDTF">2026-05-15T18:54:40.690Z</dcterms:modified>
</cp:coreProperties>
</file>

<file path=docProps/custom.xml><?xml version="1.0" encoding="utf-8"?>
<Properties xmlns="http://schemas.openxmlformats.org/officeDocument/2006/custom-properties" xmlns:vt="http://schemas.openxmlformats.org/officeDocument/2006/docPropsVTypes"/>
</file>