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rFonts w:ascii="맑은 고딕" w:hAnsi="맑은 고딕" w:eastAsia="맑은 고딕" w:cs="맑은 고딕"/>
          <w:b/>
          <w:color w:val="1F3A5F"/>
          <w:sz w:val="24"/>
        </w:rPr>
        <w:t>주간 AI·ICT 동향 (일반호)</w:t>
      </w:r>
    </w:p>
    <w:p>
      <w:pPr>
        <w:pStyle w:val="Title"/>
        <w:spacing w:after="120"/>
      </w:pPr>
      <w:r>
        <w:rPr>
          <w:rFonts w:ascii="맑은 고딕" w:hAnsi="맑은 고딕" w:eastAsia="맑은 고딕" w:cs="맑은 고딕"/>
          <w:b/>
          <w:color w:val="1F3A5F"/>
          <w:sz w:val="38"/>
        </w:rPr>
        <w:t>[시범] 주간 AI·ICT 동향 일반호(후속 규정 반영) — 개발용 출력 테스트</w:t>
      </w:r>
    </w:p>
    <w:p>
      <w:r>
        <w:rPr>
          <w:rFonts w:ascii="맑은 고딕" w:hAnsi="맑은 고딕" w:eastAsia="맑은 고딕" w:cs="맑은 고딕"/>
          <w:i/>
          <w:color w:val="444F62"/>
          <w:sz w:val="26"/>
        </w:rPr>
        <w:t>[Pilot] Weekly AI·ICT Trends (follow-up rule reflected) — Output Test</w:t>
      </w:r>
    </w:p>
    <w:p>
      <w:pPr>
        <w:pBdr>
          <w:bottom w:val="single" w:sz="18" w:space="1" w:color="1F3A5F"/>
        </w:pBdr>
      </w:pPr>
    </w:p>
    <w:p>
      <w:r>
        <w:rPr>
          <w:rFonts w:ascii="맑은 고딕" w:hAnsi="맑은 고딕" w:eastAsia="맑은 고딕" w:cs="맑은 고딕"/>
          <w:sz w:val="22"/>
        </w:rPr>
        <w:t>작성: 테크노베이션파트너스(TNP)</w:t>
      </w:r>
    </w:p>
    <w:p>
      <w:r>
        <w:rPr>
          <w:rFonts w:ascii="맑은 고딕" w:hAnsi="맑은 고딕" w:eastAsia="맑은 고딕" w:cs="맑은 고딕"/>
          <w:sz w:val="22"/>
        </w:rPr>
        <w:t>문서 상태: 내부 검토용 초안 · IITP 공식 확인 전</w:t>
      </w:r>
    </w:p>
    <w:p>
      <w:r>
        <w:rPr>
          <w:rFonts w:ascii="맑은 고딕" w:hAnsi="맑은 고딕" w:eastAsia="맑은 고딕" w:cs="맑은 고딕"/>
          <w:sz w:val="22"/>
        </w:rPr>
        <w:t>출력 기준 템플릿: 임시 표준 템플릿 v1 (임시 표준 템플릿 — IITP 공식 양식 아님)</w:t>
      </w:r>
    </w:p>
    <w:p/>
    <w:p/>
    <w:p>
      <w:r>
        <w:rPr>
          <w:rFonts w:ascii="맑은 고딕" w:hAnsi="맑은 고딕" w:eastAsia="맑은 고딕" w:cs="맑은 고딕"/>
          <w:b/>
          <w:color w:val="9A4B00"/>
          <w:sz w:val="20"/>
        </w:rPr>
        <w:t>※ 내부 검토용 초안 · IITP 공식 확인 전 / 시범 출력(개발용 테스트 자료)</w:t>
      </w:r>
    </w:p>
    <w:p>
      <w:r>
        <w:br w:type="page"/>
      </w:r>
    </w:p>
    <w:p>
      <w:r>
        <w:rPr>
          <w:rFonts w:ascii="맑은 고딕" w:hAnsi="맑은 고딕" w:eastAsia="맑은 고딕" w:cs="맑은 고딕"/>
          <w:b/>
          <w:color w:val="1F3A5F"/>
          <w:sz w:val="34"/>
        </w:rPr>
        <w:t>목  차</w:t>
      </w:r>
    </w:p>
    <w:p>
      <w:pPr>
        <w:tabs>
          <w:tab w:val="right" w:leader="dot" w:pos="9000"/>
        </w:tabs>
        <w:ind w:left="0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001" w:history="1">
        <w:r>
          <w:rPr>
            <w:rFonts w:ascii="맑은 고딕" w:hAnsi="맑은 고딕" w:eastAsia="맑은 고딕" w:cs="맑은 고딕"/>
            <w:b/>
          </w:rPr>
          <w:t xml:space="preserve">Ⅰ. 주요 이슈</w:t>
          <w:tab/>
          <w:t>3</w:t>
        </w:r>
      </w:hyperlink>
    </w:p>
    <w:p>
      <w:pPr>
        <w:tabs>
          <w:tab w:val="right" w:leader="dot" w:pos="9000"/>
        </w:tabs>
        <w:ind w:left="300"/>
      </w:pPr>
      <w:hyperlink w:anchor="_Toc000002" w:history="1">
        <w:r>
          <w:rPr>
            <w:rFonts w:ascii="맑은 고딕" w:hAnsi="맑은 고딕" w:eastAsia="맑은 고딕" w:cs="맑은 고딕"/>
          </w:rPr>
          <w:t xml:space="preserve">[시범] 미국 NHTSA 전기차 동력계 안전기준(FMVSS 305a) 제정 동향</w:t>
          <w:tab/>
          <w:t>3</w:t>
        </w:r>
      </w:hyperlink>
    </w:p>
    <w:p>
      <w:pPr>
        <w:tabs>
          <w:tab w:val="right" w:leader="dot" w:pos="9000"/>
        </w:tabs>
        <w:ind w:left="600"/>
      </w:pPr>
      <w:hyperlink w:anchor="_Toc000003" w:history="1">
        <w:r>
          <w:rPr>
            <w:rFonts w:ascii="맑은 고딕" w:hAnsi="맑은 고딕" w:eastAsia="맑은 고딕" w:cs="맑은 고딕"/>
          </w:rPr>
          <w:t xml:space="preserve">1. 추진 경과</w:t>
          <w:tab/>
          <w:t>3</w:t>
        </w:r>
      </w:hyperlink>
    </w:p>
    <w:p>
      <w:pPr>
        <w:tabs>
          <w:tab w:val="right" w:leader="dot" w:pos="9000"/>
        </w:tabs>
        <w:ind w:left="600"/>
      </w:pPr>
      <w:hyperlink w:anchor="_Toc000004" w:history="1">
        <w:r>
          <w:rPr>
            <w:rFonts w:ascii="맑은 고딕" w:hAnsi="맑은 고딕" w:eastAsia="맑은 고딕" w:cs="맑은 고딕"/>
          </w:rPr>
          <w:t xml:space="preserve">2. 주요 내용 및 일정</w:t>
          <w:tab/>
          <w:t>3</w:t>
        </w:r>
      </w:hyperlink>
    </w:p>
    <w:p>
      <w:pPr>
        <w:tabs>
          <w:tab w:val="right" w:leader="dot" w:pos="9000"/>
        </w:tabs>
        <w:ind w:left="600"/>
      </w:pPr>
      <w:hyperlink w:anchor="_Toc000005" w:history="1">
        <w:r>
          <w:rPr>
            <w:rFonts w:ascii="맑은 고딕" w:hAnsi="맑은 고딕" w:eastAsia="맑은 고딕" w:cs="맑은 고딕"/>
          </w:rPr>
          <w:t xml:space="preserve">3. 국내 산업 시사점</w:t>
          <w:tab/>
          <w:t>4</w:t>
        </w:r>
      </w:hyperlink>
    </w:p>
    <w:p>
      <w:pPr>
        <w:tabs>
          <w:tab w:val="right" w:leader="dot" w:pos="9000"/>
        </w:tabs>
        <w:ind w:left="0"/>
      </w:pPr>
      <w:hyperlink w:anchor="_Toc000006" w:history="1">
        <w:r>
          <w:rPr>
            <w:rFonts w:ascii="맑은 고딕" w:hAnsi="맑은 고딕" w:eastAsia="맑은 고딕" w:cs="맑은 고딕"/>
            <w:b/>
          </w:rPr>
          <w:t xml:space="preserve">Ⅱ. 주요국 동향</w:t>
          <w:tab/>
          <w:t>4</w:t>
        </w:r>
      </w:hyperlink>
    </w:p>
    <w:p>
      <w:pPr>
        <w:tabs>
          <w:tab w:val="right" w:leader="dot" w:pos="9000"/>
        </w:tabs>
        <w:ind w:left="0"/>
      </w:pPr>
      <w:hyperlink w:anchor="_Toc000007" w:history="1">
        <w:r>
          <w:rPr>
            <w:rFonts w:ascii="맑은 고딕" w:hAnsi="맑은 고딕" w:eastAsia="맑은 고딕" w:cs="맑은 고딕"/>
            <w:b/>
          </w:rPr>
          <w:t xml:space="preserve">Ⅲ. ICT 9대 분야 주요 단신</w:t>
          <w:tab/>
          <w:t>4</w:t>
        </w:r>
      </w:hyperlink>
    </w:p>
    <w:p>
      <w:pPr>
        <w:tabs>
          <w:tab w:val="right" w:leader="dot" w:pos="9000"/>
        </w:tabs>
        <w:ind w:left="0"/>
      </w:pPr>
      <w:hyperlink w:anchor="_Toc000008" w:history="1">
        <w:r>
          <w:rPr>
            <w:rFonts w:ascii="맑은 고딕" w:hAnsi="맑은 고딕" w:eastAsia="맑은 고딕" w:cs="맑은 고딕"/>
            <w:b/>
          </w:rPr>
          <w:t xml:space="preserve">Ⅳ. 주요 일정</w:t>
          <w:tab/>
          <w:t>4</w:t>
        </w:r>
      </w:hyperlink>
      <w:r>
        <w:fldChar w:fldCharType="end"/>
      </w:r>
    </w:p>
    <w:p/>
    <w:p>
      <w:r>
        <w:br w:type="page"/>
      </w:r>
    </w:p>
    <w:p>
      <w:pPr>
        <w:pStyle w:val="Heading1"/>
      </w:pPr>
      <w:bookmarkStart w:id="1" w:name="_Toc000001"/>
      <w:r>
        <w:rPr>
          <w:rFonts w:ascii="맑은 고딕" w:hAnsi="맑은 고딕" w:eastAsia="맑은 고딕" w:cs="맑은 고딕"/>
        </w:rPr>
        <w:t>Ⅰ. 주요 이슈</w:t>
      </w:r>
      <w:bookmarkEnd w:id="1"/>
    </w:p>
    <w:p>
      <w:pPr>
        <w:pStyle w:val="Heading2"/>
      </w:pPr>
      <w:bookmarkStart w:id="2" w:name="_Toc000002"/>
      <w:r>
        <w:rPr>
          <w:rFonts w:ascii="맑은 고딕" w:hAnsi="맑은 고딕" w:eastAsia="맑은 고딕" w:cs="맑은 고딕"/>
        </w:rPr>
        <w:t>[시범] 미국 NHTSA 전기차 동력계 안전기준(FMVSS 305a) 제정 동향</w:t>
      </w:r>
      <w:bookmarkEnd w:id="2"/>
    </w:p>
    <w:p>
      <w:r>
        <w:rPr>
          <w:rFonts w:ascii="맑은 고딕" w:hAnsi="맑은 고딕" w:eastAsia="맑은 고딕" w:cs="맑은 고딕"/>
          <w:i/>
          <w:color w:val="556070"/>
          <w:sz w:val="20"/>
        </w:rPr>
        <w:t>[Pilot] NHTSA FMVSS No. 305a - Electric Powertrain Integrity</w:t>
      </w:r>
    </w:p>
    <w:p>
      <w:r>
        <w:rPr>
          <w:rFonts w:ascii="맑은 고딕" w:hAnsi="맑은 고딕" w:eastAsia="맑은 고딕" w:cs="맑은 고딕"/>
          <w:color w:val="9A4B00"/>
          <w:sz w:val="17"/>
        </w:rPr>
        <w:t>※ 원고 상태: 내부 승인 전(초안·검토 중)</w:t>
      </w:r>
    </w:p>
    <w:p>
      <w:pPr>
        <w:pStyle w:val="Heading3"/>
      </w:pPr>
      <w:bookmarkStart w:id="3" w:name="_Toc000003"/>
      <w:r>
        <w:rPr>
          <w:rFonts w:ascii="맑은 고딕" w:hAnsi="맑은 고딕" w:eastAsia="맑은 고딕" w:cs="맑은 고딕"/>
        </w:rPr>
        <w:t>1. 추진 경과</w:t>
      </w:r>
      <w:bookmarkEnd w:id="3"/>
    </w:p>
    <w:p>
      <w:r>
        <w:rPr>
          <w:rFonts w:ascii="맑은 고딕" w:hAnsi="맑은 고딕" w:eastAsia="맑은 고딕" w:cs="맑은 고딕"/>
          <w:sz w:val="21"/>
        </w:rPr>
        <w:t>미국 NHTSA는 2024.4.15. 기존 FMVSS No. 305를 대체하는 FMVSS No. 305a 제정안(NPRM, Docket NHTSA-2024-0012, RIN 2127-AM43)을 공고함</w:t>
      </w:r>
      <w:r>
        <w:rPr>
          <w:rStyle w:val="FootnoteReference"/>
        </w:rPr>
        <w:footnoteReference w:id="1"/>
      </w:r>
      <w:r>
        <w:rPr>
          <w:rFonts w:ascii="맑은 고딕" w:hAnsi="맑은 고딕" w:eastAsia="맑은 고딕" w:cs="맑은 고딕"/>
          <w:sz w:val="21"/>
        </w:rPr>
        <w:t>. 의견수렴 마감은 2024.6.14.이었음</w:t>
      </w:r>
      <w:r>
        <w:rPr>
          <w:rStyle w:val="FootnoteReference"/>
        </w:rPr>
        <w:footnoteReference w:id="2"/>
      </w:r>
      <w:r>
        <w:rPr>
          <w:rFonts w:ascii="맑은 고딕" w:hAnsi="맑은 고딕" w:eastAsia="맑은 고딕" w:cs="맑은 고딕"/>
          <w:sz w:val="21"/>
        </w:rPr>
        <w:t>.</w:t>
      </w:r>
    </w:p>
    <w:p>
      <w:r>
        <w:rPr>
          <w:rFonts w:ascii="맑은 고딕" w:hAnsi="맑은 고딕" w:eastAsia="맑은 고딕" w:cs="맑은 고딕"/>
          <w:sz w:val="21"/>
        </w:rPr>
        <w:t>2024.12.20. 동일 RIN으로 최종 규정(Docket NHTSA-2024-0091)이 공고됨.</w:t>
      </w:r>
    </w:p>
    <w:p>
      <w:pPr>
        <w:pStyle w:val="Heading3"/>
      </w:pPr>
      <w:bookmarkStart w:id="4" w:name="_Toc000004"/>
      <w:r>
        <w:rPr>
          <w:rFonts w:ascii="맑은 고딕" w:hAnsi="맑은 고딕" w:eastAsia="맑은 고딕" w:cs="맑은 고딕"/>
        </w:rPr>
        <w:t>2. 주요 내용 및 일정</w:t>
      </w:r>
      <w:bookmarkEnd w:id="4"/>
    </w:p>
    <w:p>
      <w:r>
        <w:rPr>
          <w:rFonts w:ascii="맑은 고딕" w:hAnsi="맑은 고딕" w:eastAsia="맑은 고딕" w:cs="맑은 고딕"/>
          <w:sz w:val="21"/>
        </w:rPr>
        <w:t>※ 날짜 구분: 의견수렴 마감(2024.6.14.) → 최종 규정 공고(2024.12.20.) → 시행일(2025.3.20., 당초 2025.2.18.에서 연기) → 준수 시한(2025.12.22. / 2027.9.1. / 2028.9.1.)임.</w:t>
      </w:r>
    </w:p>
    <w:p>
      <w:r>
        <w:rPr>
          <w:rFonts w:ascii="맑은 고딕" w:hAnsi="맑은 고딕" w:eastAsia="맑은 고딕" w:cs="맑은 고딕"/>
          <w:sz w:val="21"/>
        </w:rPr>
        <w:t>최종 규정은 당초 2025.2.18.부터 시행될 예정이었음</w:t>
      </w:r>
      <w:r>
        <w:rPr>
          <w:rStyle w:val="FootnoteReference"/>
        </w:rPr>
        <w:footnoteReference w:id="3"/>
      </w:r>
      <w:r>
        <w:rPr>
          <w:rFonts w:ascii="맑은 고딕" w:hAnsi="맑은 고딕" w:eastAsia="맑은 고딕" w:cs="맑은 고딕"/>
          <w:sz w:val="21"/>
        </w:rPr>
        <w:t xml:space="preserve">. </w:t>
      </w:r>
      <w:r>
        <w:rPr>
          <w:rFonts w:ascii="맑은 고딕" w:hAnsi="맑은 고딕" w:eastAsia="맑은 고딕" w:cs="맑은 고딕"/>
          <w:sz w:val="21"/>
        </w:rPr>
        <w:t>2025.2.14. 공고된 후속 규정으로 시행일이 2025.3.20.으로 연기됨</w:t>
      </w:r>
      <w:r>
        <w:rPr>
          <w:rStyle w:val="FootnoteReference"/>
        </w:rPr>
        <w:footnoteReference w:id="4"/>
      </w:r>
      <w:r>
        <w:rPr>
          <w:rFonts w:ascii="맑은 고딕" w:hAnsi="맑은 고딕" w:eastAsia="맑은 고딕" w:cs="맑은 고딕"/>
          <w:sz w:val="21"/>
        </w:rPr>
        <w:t>. 비상대응정보 문서화 요건의 준수 시한은 2025.12.22.임</w:t>
      </w:r>
      <w:r>
        <w:rPr>
          <w:rStyle w:val="FootnoteReference"/>
        </w:rPr>
        <w:footnoteReference w:id="5"/>
      </w:r>
      <w:r>
        <w:rPr>
          <w:rFonts w:ascii="맑은 고딕" w:hAnsi="맑은 고딕" w:eastAsia="맑은 고딕" w:cs="맑은 고딕"/>
          <w:sz w:val="21"/>
        </w:rPr>
        <w:t>.</w:t>
      </w:r>
    </w:p>
    <w:p>
      <w:r>
        <w:rPr>
          <w:rFonts w:ascii="맑은 고딕" w:hAnsi="맑은 고딕" w:eastAsia="맑은 고딕" w:cs="맑은 고딕"/>
          <w:sz w:val="21"/>
        </w:rPr>
        <w:t>총중량 4,536kg 이하 차량의 그 밖의 요건 준수 시한은 2027.9.1.임</w:t>
      </w:r>
      <w:r>
        <w:rPr>
          <w:rStyle w:val="FootnoteReference"/>
        </w:rPr>
        <w:footnoteReference w:id="6"/>
      </w:r>
      <w:r>
        <w:rPr>
          <w:rFonts w:ascii="맑은 고딕" w:hAnsi="맑은 고딕" w:eastAsia="맑은 고딕" w:cs="맑은 고딕"/>
          <w:sz w:val="21"/>
        </w:rPr>
        <w:t xml:space="preserve">. </w:t>
      </w:r>
      <w:r>
        <w:rPr>
          <w:rFonts w:ascii="맑은 고딕" w:hAnsi="맑은 고딕" w:eastAsia="맑은 고딕" w:cs="맑은 고딕"/>
          <w:sz w:val="21"/>
        </w:rPr>
        <w:t>총중량 4,536kg 초과 차량의 그 밖의 요건 준수 시한은 2028.9.1.임</w:t>
      </w:r>
      <w:r>
        <w:rPr>
          <w:rStyle w:val="FootnoteReference"/>
        </w:rPr>
        <w:footnoteReference w:id="7"/>
      </w:r>
      <w:r>
        <w:rPr>
          <w:rFonts w:ascii="맑은 고딕" w:hAnsi="맑은 고딕" w:eastAsia="맑은 고딕" w:cs="맑은 고딕"/>
          <w:sz w:val="21"/>
        </w:rPr>
        <w:t xml:space="preserve">. </w:t>
      </w:r>
      <w:r>
        <w:rPr>
          <w:rFonts w:ascii="맑은 고딕" w:hAnsi="맑은 고딕" w:eastAsia="맑은 고딕" w:cs="맑은 고딕"/>
          <w:sz w:val="21"/>
        </w:rPr>
        <w:t>소량생산업체·최종단계 제조업체·개조업체에는 위 시한에 더해 1년의 추가 유예가 부여됨</w:t>
      </w:r>
      <w:r>
        <w:rPr>
          <w:rStyle w:val="FootnoteReference"/>
        </w:rPr>
        <w:footnoteReference w:id="8"/>
      </w:r>
      <w:r>
        <w:rPr>
          <w:rFonts w:ascii="맑은 고딕" w:hAnsi="맑은 고딕" w:eastAsia="맑은 고딕" w:cs="맑은 고딕"/>
          <w:sz w:val="21"/>
        </w:rPr>
        <w:t>.</w:t>
      </w:r>
    </w:p>
    <w:p>
      <w:pPr>
        <w:pStyle w:val="Heading3"/>
      </w:pPr>
      <w:bookmarkStart w:id="5" w:name="_Toc000005"/>
      <w:r>
        <w:rPr>
          <w:rFonts w:ascii="맑은 고딕" w:hAnsi="맑은 고딕" w:eastAsia="맑은 고딕" w:cs="맑은 고딕"/>
        </w:rPr>
        <w:t>3. 국내 산업 시사점</w:t>
      </w:r>
      <w:bookmarkEnd w:id="5"/>
    </w:p>
    <w:p>
      <w:r>
        <w:rPr>
          <w:rFonts w:ascii="맑은 고딕" w:hAnsi="맑은 고딕" w:eastAsia="맑은 고딕" w:cs="맑은 고딕"/>
          <w:sz w:val="21"/>
        </w:rPr>
        <w:t>추가 조사 필요 — 원문에 국내 산업 영향을 직접 뒷받침하는 근거가 없어 작성하지 않음.</w:t>
      </w:r>
    </w:p>
    <w:p>
      <w:pPr>
        <w:pStyle w:val="Heading1"/>
      </w:pPr>
      <w:bookmarkStart w:id="6" w:name="_Toc000006"/>
      <w:r>
        <w:rPr>
          <w:rFonts w:ascii="맑은 고딕" w:hAnsi="맑은 고딕" w:eastAsia="맑은 고딕" w:cs="맑은 고딕"/>
        </w:rPr>
        <w:t>Ⅱ. 주요국 동향</w:t>
      </w:r>
      <w:bookmarkEnd w:id="6"/>
    </w:p>
    <w:p>
      <w:r>
        <w:rPr>
          <w:rFonts w:ascii="맑은 고딕" w:hAnsi="맑은 고딕" w:eastAsia="맑은 고딕" w:cs="맑은 고딕"/>
          <w:i/>
          <w:color w:val="888888"/>
          <w:sz w:val="20"/>
        </w:rPr>
        <w:t>(원고 미배치 — 미완성 초안입니다. 작성 후 다시 출력하세요.)</w:t>
      </w:r>
    </w:p>
    <w:p>
      <w:pPr>
        <w:pStyle w:val="Heading1"/>
      </w:pPr>
      <w:bookmarkStart w:id="7" w:name="_Toc000007"/>
      <w:r>
        <w:rPr>
          <w:rFonts w:ascii="맑은 고딕" w:hAnsi="맑은 고딕" w:eastAsia="맑은 고딕" w:cs="맑은 고딕"/>
        </w:rPr>
        <w:t>Ⅲ. ICT 9대 분야 주요 단신</w:t>
      </w:r>
      <w:bookmarkEnd w:id="7"/>
    </w:p>
    <w:p>
      <w:r>
        <w:rPr>
          <w:rFonts w:ascii="맑은 고딕" w:hAnsi="맑은 고딕" w:eastAsia="맑은 고딕" w:cs="맑은 고딕"/>
          <w:i/>
          <w:color w:val="888888"/>
          <w:sz w:val="20"/>
        </w:rPr>
        <w:t>(원고 미배치 — 미완성 초안입니다. 작성 후 다시 출력하세요.)</w:t>
      </w:r>
    </w:p>
    <w:p>
      <w:pPr>
        <w:pStyle w:val="Heading1"/>
      </w:pPr>
      <w:bookmarkStart w:id="8" w:name="_Toc000008"/>
      <w:r>
        <w:rPr>
          <w:rFonts w:ascii="맑은 고딕" w:hAnsi="맑은 고딕" w:eastAsia="맑은 고딕" w:cs="맑은 고딕"/>
        </w:rPr>
        <w:t>Ⅳ. 주요 일정</w:t>
      </w:r>
      <w:bookmarkEnd w:id="8"/>
    </w:p>
    <w:p>
      <w:r>
        <w:rPr>
          <w:rFonts w:ascii="맑은 고딕" w:hAnsi="맑은 고딕" w:eastAsia="맑은 고딕" w:cs="맑은 고딕"/>
          <w:i/>
          <w:color w:val="888888"/>
          <w:sz w:val="20"/>
        </w:rPr>
        <w:t>(원고 미배치 — 미완성 초안입니다. 작성 후 다시 출력하세요.)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color w:val="9A4B00"/>
        <w:sz w:val="16"/>
      </w:rPr>
      <w:t xml:space="preserve">내부 검토용 초안 · IITP 공식 확인 전 / 시범 출력(개발용 테스트 자료)   </w:t>
    </w:r>
    <w:r>
      <w:rPr>
        <w:rFonts w:ascii="맑은 고딕" w:hAnsi="맑은 고딕" w:eastAsia="맑은 고딕" w:cs="맑은 고딕"/>
        <w:sz w:val="18"/>
      </w:rPr>
      <w:fldChar w:fldCharType="begin"/>
    </w:r>
    <w:r>
      <w:rPr>
        <w:rFonts w:ascii="맑은 고딕" w:hAnsi="맑은 고딕" w:eastAsia="맑은 고딕" w:cs="맑은 고딕"/>
        <w:sz w:val="18"/>
      </w:rPr>
      <w:instrText xml:space="preserve"> PAGE </w:instrText>
    </w:r>
    <w:r>
      <w:rPr>
        <w:rFonts w:ascii="맑은 고딕" w:hAnsi="맑은 고딕" w:eastAsia="맑은 고딕" w:cs="맑은 고딕"/>
        <w:sz w:val="18"/>
      </w:rPr>
      <w:fldChar w:fldCharType="separate"/>
    </w:r>
    <w:r>
      <w:rPr>
        <w:rFonts w:ascii="맑은 고딕" w:hAnsi="맑은 고딕" w:eastAsia="맑은 고딕" w:cs="맑은 고딕"/>
        <w:sz w:val="18"/>
      </w:rPr>
      <w:t>1</w:t>
    </w:r>
    <w:r>
      <w:rPr>
        <w:rFonts w:ascii="맑은 고딕" w:hAnsi="맑은 고딕" w:eastAsia="맑은 고딕" w:cs="맑은 고딕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rFonts w:ascii="맑은 고딕" w:hAnsi="맑은 고딕" w:eastAsia="맑은 고딕" w:cs="맑은 고딕"/>
        </w:rPr>
        <w:t xml:space="preserve"> 미국 국가도로교통안전청(NHTSA), 「Federal Motor Vehicle Safety Standards; FMVSS No. 305a Electric-Powered Vehicles: Electric Powertrain Integrity Global Technical Regulation No. 20, Incorporation by Reference」, 2024.04.15., </w:t>
      </w:r>
      <w:hyperlink r:id="rId1">
        <w:r>
          <w:rPr>
            <w:rStyle w:val="Hyperlink"/>
            <w:rFonts w:ascii="맑은 고딕" w:hAnsi="맑은 고딕" w:eastAsia="맑은 고딕" w:cs="맑은 고딕"/>
          </w:rPr>
          <w:t xml:space="preserve">https://www.federalregister.gov/documents/2024/04/15/2024-07646/federal-motor-vehicle-safety-standards-fmvss-no-305a-electric-powered-vehicles-electric-powertrain</w:t>
        </w:r>
      </w:hyperlink>
      <w:r>
        <w:rPr>
          <w:rFonts w:ascii="맑은 고딕" w:hAnsi="맑은 고딕" w:eastAsia="맑은 고딕" w:cs="맑은 고딕"/>
        </w:rPr>
        <w:t xml:space="preserve"> (열람 2026.10.23.) [원문 내 위치 미확인]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맑은 고딕" w:hAnsi="맑은 고딕" w:eastAsia="맑은 고딕" w:cs="맑은 고딕"/>
        </w:rPr>
        <w:t xml:space="preserve"> 미국 국가도로교통안전청(NHTSA), 앞의 각주 1번 참조 [원문 내 위치 미확인]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맑은 고딕" w:hAnsi="맑은 고딕" w:eastAsia="맑은 고딕" w:cs="맑은 고딕"/>
        </w:rPr>
        <w:t xml:space="preserve"> 미국 국가도로교통안전청(NHTSA), 「Federal Motor Vehicle Safety Standards; FMVSS No. 305a Electric-Powered Vehicles: Electric Powertrain Integrity Global Technical Regulation No. 20 Incorporation by Reference」, 2024.12.20., </w:t>
      </w:r>
      <w:hyperlink r:id="rId2">
        <w:r>
          <w:rPr>
            <w:rStyle w:val="Hyperlink"/>
            <w:rFonts w:ascii="맑은 고딕" w:hAnsi="맑은 고딕" w:eastAsia="맑은 고딕" w:cs="맑은 고딕"/>
          </w:rPr>
          <w:t xml:space="preserve">https://www.federalregister.gov/documents/2024/12/20/2024-28707/federal-motor-vehicle-safety-standards-fmvss-no-305a-electric-powered-vehicles-electric-powertrain</w:t>
        </w:r>
      </w:hyperlink>
      <w:r>
        <w:rPr>
          <w:rFonts w:ascii="맑은 고딕" w:hAnsi="맑은 고딕" w:eastAsia="맑은 고딕" w:cs="맑은 고딕"/>
        </w:rPr>
        <w:t xml:space="preserve"> (열람 2026.10.23.) [원문 내 위치 미확인]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rPr>
          <w:rFonts w:ascii="맑은 고딕" w:hAnsi="맑은 고딕" w:eastAsia="맑은 고딕" w:cs="맑은 고딕"/>
        </w:rPr>
        <w:t xml:space="preserve"> 미국 국가도로교통안전청(NHTSA), 「2025.2.14. 공고된 후속 규정으로 시행일이 2025.3.20.으로 연기됨」, 2025.02.14., </w:t>
      </w:r>
      <w:hyperlink r:id="rId3">
        <w:r>
          <w:rPr>
            <w:rStyle w:val="Hyperlink"/>
            <w:rFonts w:ascii="맑은 고딕" w:hAnsi="맑은 고딕" w:eastAsia="맑은 고딕" w:cs="맑은 고딕"/>
          </w:rPr>
          <w:t xml:space="preserve">https://www.federalregister.gov/documents/2025/02/14/2025-02582/federal-motor-vehicle-safety-standards-fmvss-no-305a-electric-powered-vehicles-electric-powertrain</w:t>
        </w:r>
      </w:hyperlink>
      <w:r>
        <w:rPr>
          <w:rFonts w:ascii="맑은 고딕" w:hAnsi="맑은 고딕" w:eastAsia="맑은 고딕" w:cs="맑은 고딕"/>
        </w:rPr>
        <w:t xml:space="preserve"> (열람 2026.10.26.) [원문 내 위치 미확인]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rPr>
          <w:rFonts w:ascii="맑은 고딕" w:hAnsi="맑은 고딕" w:eastAsia="맑은 고딕" w:cs="맑은 고딕"/>
        </w:rPr>
        <w:t xml:space="preserve"> 미국 국가도로교통안전청(NHTSA), 앞의 각주 3번 참조 [원문 내 위치 미확인]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rPr>
          <w:rFonts w:ascii="맑은 고딕" w:hAnsi="맑은 고딕" w:eastAsia="맑은 고딕" w:cs="맑은 고딕"/>
        </w:rPr>
        <w:t xml:space="preserve"> 미국 국가도로교통안전청(NHTSA), 앞의 각주 3번 참조 [근거 미검증] [원문 내 위치 미확인]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rPr>
          <w:rFonts w:ascii="맑은 고딕" w:hAnsi="맑은 고딕" w:eastAsia="맑은 고딕" w:cs="맑은 고딕"/>
        </w:rPr>
        <w:t xml:space="preserve"> 미국 국가도로교통안전청(NHTSA), 앞의 각주 3번 참조 [원문 내 위치 미확인]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rPr>
          <w:rFonts w:ascii="맑은 고딕" w:hAnsi="맑은 고딕" w:eastAsia="맑은 고딕" w:cs="맑은 고딕"/>
        </w:rPr>
        <w:t xml:space="preserve"> 미국 국가도로교통안전청(NHTSA), 앞의 각주 3번 참조 [근거 미검증] [원문 내 위치 미확인]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color w:val="667285"/>
        <w:sz w:val="17"/>
      </w:rPr>
      <w:t>주간 AI·ICT 동향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88" w:lineRule="auto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 w:val="0"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 w:val="0"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 w:val="0"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1F3A5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 Text"/>
    <w:basedOn w:val="Normal"/>
    <w:pPr>
      <w:spacing w:line="276" w:lineRule="auto" w:after="20"/>
    </w:pPr>
    <w:rPr>
      <w:rFonts w:ascii="맑은 고딕" w:hAnsi="맑은 고딕" w:eastAsia="맑은 고딕" w:cs="맑은 고딕"/>
      <w:sz w:val="17"/>
    </w:rPr>
  </w:style>
  <w:style w:type="character" w:customStyle="1" w:styleId="FootnoteReference">
    <w:name w:val="Footnote Reference"/>
    <w:rPr>
      <w:vertAlign w:val="superscript"/>
    </w:rPr>
  </w:style>
  <w:style w:type="character" w:customStyle="1" w:styleId="Hyperlink">
    <w:name w:val="Hyperlink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www.federalregister.gov/documents/2024/04/15/2024-07646/federal-motor-vehicle-safety-standards-fmvss-no-305a-electric-powered-vehicles-electric-powertrain" TargetMode="External"/><Relationship Id="rId2" Type="http://schemas.openxmlformats.org/officeDocument/2006/relationships/hyperlink" Target="https://www.federalregister.gov/documents/2024/12/20/2024-28707/federal-motor-vehicle-safety-standards-fmvss-no-305a-electric-powered-vehicles-electric-powertrain" TargetMode="External"/><Relationship Id="rId3" Type="http://schemas.openxmlformats.org/officeDocument/2006/relationships/hyperlink" Target="https://www.federalregister.gov/documents/2025/02/14/2025-02582/federal-motor-vehicle-safety-standards-fmvss-no-305a-electric-powered-vehicles-electric-powertr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