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9023420"/>
        <w:docPartObj>
          <w:docPartGallery w:val="Cover Pages"/>
          <w:docPartUnique/>
        </w:docPartObj>
      </w:sdtPr>
      <w:sdtEndPr>
        <w:rPr>
          <w:sz w:val="20"/>
          <w:szCs w:val="21"/>
        </w:rPr>
      </w:sdtEndPr>
      <w:sdtContent>
        <w:p w14:paraId="78097F13" w14:textId="33F1D767" w:rsidR="0099085A" w:rsidRDefault="001C37D3" w:rsidP="0099085A">
          <w:pPr>
            <w:jc w:val="both"/>
            <w:rPr>
              <w:rFonts w:hint="eastAsia"/>
            </w:rPr>
          </w:pPr>
          <w:r>
            <w:rPr>
              <w:rFonts w:hint="eastAsia"/>
            </w:rPr>
            <w:t>教育学レポート</w:t>
          </w:r>
          <w:r w:rsidR="00C54F70">
            <w:tab/>
          </w:r>
          <w:r w:rsidR="00C54F70">
            <w:tab/>
          </w:r>
          <w:r w:rsidR="0099085A">
            <w:tab/>
          </w:r>
          <w:r w:rsidR="0099085A">
            <w:tab/>
          </w:r>
          <w:r w:rsidR="0099085A">
            <w:tab/>
          </w:r>
          <w:r w:rsidR="00936D1D">
            <w:rPr>
              <w:rFonts w:hint="eastAsia"/>
            </w:rPr>
            <w:t xml:space="preserve"> </w:t>
          </w:r>
          <w:r w:rsidR="0099085A">
            <w:rPr>
              <w:rFonts w:hint="eastAsia"/>
            </w:rPr>
            <w:t xml:space="preserve">提出日 </w:t>
          </w:r>
          <w:r w:rsidR="006D2BD0">
            <w:rPr>
              <w:rFonts w:hint="eastAsia"/>
            </w:rPr>
            <w:t>2025年2月8日</w:t>
          </w:r>
          <w:r w:rsidR="00936D1D">
            <w:rPr>
              <w:rFonts w:hint="eastAsia"/>
            </w:rPr>
            <w:t>（土）</w:t>
          </w:r>
        </w:p>
        <w:p w14:paraId="169E87F5" w14:textId="77777777" w:rsidR="001C37D3" w:rsidRPr="006D2BD0" w:rsidRDefault="001C37D3"/>
        <w:p w14:paraId="593CB943" w14:textId="77777777" w:rsidR="00163C28" w:rsidRDefault="00163C28">
          <w:pPr>
            <w:rPr>
              <w:rFonts w:hint="eastAsia"/>
            </w:rPr>
          </w:pPr>
        </w:p>
        <w:p w14:paraId="3375BF32" w14:textId="0332D366" w:rsidR="00F7446A" w:rsidRPr="00F7446A" w:rsidRDefault="00F7446A" w:rsidP="00F7446A">
          <w:pPr>
            <w:snapToGrid w:val="0"/>
            <w:spacing w:after="0" w:line="1000" w:lineRule="exact"/>
            <w:jc w:val="center"/>
            <w:textAlignment w:val="center"/>
            <w:rPr>
              <w:rFonts w:ascii="ＭＳ 明朝" w:eastAsia="ＭＳ 明朝" w:hAnsi="ＭＳ 明朝" w:cs="Times New Roman"/>
              <w:kern w:val="0"/>
              <w:sz w:val="48"/>
              <w:szCs w:val="48"/>
              <w14:ligatures w14:val="none"/>
            </w:rPr>
          </w:pPr>
          <w:r w:rsidRPr="00435918">
            <w:rPr>
              <w:rFonts w:ascii="ＭＳ 明朝" w:eastAsia="ＭＳ 明朝" w:hAnsi="ＭＳ 明朝" w:cs="Times New Roman" w:hint="eastAsia"/>
              <w:kern w:val="0"/>
              <w:sz w:val="48"/>
              <w:szCs w:val="48"/>
              <w14:ligatures w14:val="none"/>
            </w:rPr>
            <w:t>若者の科学離れはどうすれば防げるか</w:t>
          </w:r>
        </w:p>
        <w:p w14:paraId="4CC6093C" w14:textId="77777777" w:rsid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kern w:val="0"/>
              <w:szCs w:val="22"/>
              <w14:ligatures w14:val="none"/>
            </w:rPr>
          </w:pPr>
        </w:p>
        <w:p w14:paraId="5DE9CA90" w14:textId="77777777" w:rsidR="00163C28" w:rsidRDefault="00163C28" w:rsidP="00F7446A">
          <w:pPr>
            <w:snapToGrid w:val="0"/>
            <w:spacing w:after="0" w:line="240" w:lineRule="auto"/>
            <w:ind w:firstLineChars="250" w:firstLine="550"/>
            <w:jc w:val="both"/>
            <w:textAlignment w:val="center"/>
            <w:rPr>
              <w:rFonts w:ascii="ＭＳ 明朝" w:eastAsia="ＭＳ 明朝" w:hAnsi="ＭＳ 明朝" w:cs="Times New Roman"/>
              <w:kern w:val="0"/>
              <w:szCs w:val="22"/>
              <w14:ligatures w14:val="none"/>
            </w:rPr>
          </w:pPr>
        </w:p>
        <w:p w14:paraId="1FEAB639" w14:textId="77777777" w:rsidR="00163C28" w:rsidRDefault="00163C28" w:rsidP="00F7446A">
          <w:pPr>
            <w:snapToGrid w:val="0"/>
            <w:spacing w:after="0" w:line="240" w:lineRule="auto"/>
            <w:ind w:firstLineChars="250" w:firstLine="550"/>
            <w:jc w:val="both"/>
            <w:textAlignment w:val="center"/>
            <w:rPr>
              <w:rFonts w:ascii="ＭＳ 明朝" w:eastAsia="ＭＳ 明朝" w:hAnsi="ＭＳ 明朝" w:cs="Times New Roman"/>
              <w:kern w:val="0"/>
              <w:szCs w:val="22"/>
              <w14:ligatures w14:val="none"/>
            </w:rPr>
          </w:pPr>
        </w:p>
        <w:p w14:paraId="3A8F49C8" w14:textId="77777777" w:rsidR="00163C28" w:rsidRDefault="00163C28" w:rsidP="00F7446A">
          <w:pPr>
            <w:snapToGrid w:val="0"/>
            <w:spacing w:after="0" w:line="240" w:lineRule="auto"/>
            <w:ind w:firstLineChars="250" w:firstLine="550"/>
            <w:jc w:val="both"/>
            <w:textAlignment w:val="center"/>
            <w:rPr>
              <w:rFonts w:ascii="ＭＳ 明朝" w:eastAsia="ＭＳ 明朝" w:hAnsi="ＭＳ 明朝" w:cs="Times New Roman"/>
              <w:kern w:val="0"/>
              <w:szCs w:val="22"/>
              <w14:ligatures w14:val="none"/>
            </w:rPr>
          </w:pPr>
        </w:p>
        <w:p w14:paraId="5581A7DE" w14:textId="77777777" w:rsidR="00163C28" w:rsidRDefault="00163C28" w:rsidP="00F7446A">
          <w:pPr>
            <w:snapToGrid w:val="0"/>
            <w:spacing w:after="0" w:line="240" w:lineRule="auto"/>
            <w:ind w:firstLineChars="250" w:firstLine="550"/>
            <w:jc w:val="both"/>
            <w:textAlignment w:val="center"/>
            <w:rPr>
              <w:rFonts w:ascii="ＭＳ 明朝" w:eastAsia="ＭＳ 明朝" w:hAnsi="ＭＳ 明朝" w:cs="Times New Roman"/>
              <w:kern w:val="0"/>
              <w:szCs w:val="22"/>
              <w14:ligatures w14:val="none"/>
            </w:rPr>
          </w:pPr>
        </w:p>
        <w:p w14:paraId="48B62336" w14:textId="77777777" w:rsidR="00163C28" w:rsidRPr="00F7446A" w:rsidRDefault="00163C28"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645D1584" w14:textId="77777777" w:rsidR="00F7446A" w:rsidRP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620F572C" w14:textId="77777777" w:rsidR="00F7446A" w:rsidRPr="00F7446A" w:rsidRDefault="00F7446A" w:rsidP="00F7446A">
          <w:pPr>
            <w:snapToGrid w:val="0"/>
            <w:spacing w:after="0" w:line="240" w:lineRule="auto"/>
            <w:ind w:firstLineChars="250" w:firstLine="700"/>
            <w:jc w:val="both"/>
            <w:textAlignment w:val="center"/>
            <w:rPr>
              <w:rFonts w:ascii="ＭＳ 明朝" w:eastAsia="ＭＳ 明朝" w:hAnsi="ＭＳ 明朝" w:cs="Times New Roman" w:hint="eastAsia"/>
              <w:kern w:val="0"/>
              <w:sz w:val="28"/>
              <w:szCs w:val="28"/>
              <w14:ligatures w14:val="none"/>
            </w:rPr>
          </w:pPr>
        </w:p>
        <w:p w14:paraId="246E634C" w14:textId="36E70919" w:rsidR="00F7446A" w:rsidRPr="00163C28" w:rsidRDefault="000E43B6" w:rsidP="00163C28">
          <w:pPr>
            <w:snapToGrid w:val="0"/>
            <w:spacing w:after="0" w:line="240" w:lineRule="auto"/>
            <w:jc w:val="center"/>
            <w:textAlignment w:val="center"/>
            <w:rPr>
              <w:rFonts w:ascii="ＭＳ 明朝" w:eastAsia="ＭＳ 明朝" w:hAnsi="ＭＳ 明朝" w:cs="Times New Roman"/>
              <w:kern w:val="0"/>
              <w:sz w:val="32"/>
              <w:szCs w:val="32"/>
              <w14:ligatures w14:val="none"/>
            </w:rPr>
          </w:pPr>
          <w:r w:rsidRPr="00163C28">
            <w:rPr>
              <w:sz w:val="32"/>
              <w:szCs w:val="36"/>
            </w:rPr>
            <w:t>比嘉恒次</w:t>
          </w:r>
        </w:p>
        <w:p w14:paraId="655D8258" w14:textId="567F1CC1" w:rsidR="00F7446A" w:rsidRPr="00F7446A" w:rsidRDefault="00A43904" w:rsidP="00163C28">
          <w:pPr>
            <w:snapToGrid w:val="0"/>
            <w:spacing w:after="0" w:line="240" w:lineRule="auto"/>
            <w:jc w:val="center"/>
            <w:textAlignment w:val="center"/>
            <w:rPr>
              <w:rFonts w:ascii="ＭＳ 明朝" w:eastAsia="ＭＳ 明朝" w:hAnsi="ＭＳ 明朝" w:cs="Times New Roman" w:hint="eastAsia"/>
              <w:kern w:val="0"/>
              <w:szCs w:val="22"/>
              <w14:ligatures w14:val="none"/>
            </w:rPr>
          </w:pPr>
          <w:r w:rsidRPr="00163C28">
            <w:rPr>
              <w:sz w:val="21"/>
              <w:szCs w:val="22"/>
            </w:rPr>
            <w:t>123456</w:t>
          </w:r>
          <w:r w:rsidRPr="00163C28">
            <w:rPr>
              <w:rFonts w:hint="eastAsia"/>
              <w:sz w:val="21"/>
              <w:szCs w:val="22"/>
            </w:rPr>
            <w:t>k</w:t>
          </w:r>
          <w:r w:rsidR="00E8035C" w:rsidRPr="00163C28">
            <w:rPr>
              <w:rFonts w:hint="eastAsia"/>
              <w:sz w:val="21"/>
              <w:szCs w:val="22"/>
            </w:rPr>
            <w:t xml:space="preserve"> 工学部 環境建築工学 一年次</w:t>
          </w:r>
        </w:p>
        <w:p w14:paraId="4F5E5BEF" w14:textId="77777777" w:rsidR="00F7446A" w:rsidRP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71F9C43A" w14:textId="77777777" w:rsidR="00F7446A" w:rsidRP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15E9CE33" w14:textId="77777777" w:rsidR="00F7446A" w:rsidRP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45982802" w14:textId="77777777" w:rsidR="00F7446A" w:rsidRP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7943B861" w14:textId="77777777" w:rsidR="00F7446A" w:rsidRP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36055168" w14:textId="77777777" w:rsidR="00F7446A" w:rsidRPr="00F7446A" w:rsidRDefault="00F7446A" w:rsidP="00F7446A">
          <w:pPr>
            <w:snapToGrid w:val="0"/>
            <w:spacing w:after="0" w:line="240" w:lineRule="auto"/>
            <w:ind w:firstLineChars="250" w:firstLine="550"/>
            <w:jc w:val="both"/>
            <w:textAlignment w:val="center"/>
            <w:rPr>
              <w:rFonts w:ascii="ＭＳ 明朝" w:eastAsia="ＭＳ 明朝" w:hAnsi="ＭＳ 明朝" w:cs="Times New Roman" w:hint="eastAsia"/>
              <w:kern w:val="0"/>
              <w:szCs w:val="22"/>
              <w14:ligatures w14:val="none"/>
            </w:rPr>
          </w:pPr>
        </w:p>
        <w:p w14:paraId="0510D97A" w14:textId="77777777" w:rsidR="00F7446A" w:rsidRPr="00F7446A" w:rsidRDefault="00F7446A" w:rsidP="00F7446A">
          <w:pPr>
            <w:snapToGrid w:val="0"/>
            <w:spacing w:after="0" w:line="240" w:lineRule="auto"/>
            <w:ind w:firstLineChars="250" w:firstLine="550"/>
            <w:jc w:val="both"/>
            <w:textAlignment w:val="center"/>
            <w:rPr>
              <w:rFonts w:asciiTheme="majorEastAsia" w:eastAsiaTheme="majorEastAsia" w:hAnsiTheme="majorEastAsia" w:cs="Times New Roman" w:hint="eastAsia"/>
              <w:kern w:val="0"/>
              <w:szCs w:val="22"/>
              <w14:ligatures w14:val="none"/>
            </w:rPr>
          </w:pPr>
        </w:p>
        <w:p w14:paraId="6106C94E" w14:textId="69F287B4" w:rsidR="00F7446A" w:rsidRPr="00181219" w:rsidRDefault="00F7446A" w:rsidP="00163C28">
          <w:pPr>
            <w:snapToGrid w:val="0"/>
            <w:spacing w:after="0" w:line="240" w:lineRule="auto"/>
            <w:jc w:val="center"/>
            <w:textAlignment w:val="center"/>
            <w:rPr>
              <w:rFonts w:ascii="游明朝 Light" w:eastAsia="游明朝 Light" w:hAnsi="游明朝 Light" w:cs="Times New Roman" w:hint="eastAsia"/>
              <w:kern w:val="0"/>
              <w:szCs w:val="22"/>
              <w14:ligatures w14:val="none"/>
            </w:rPr>
          </w:pPr>
          <w:r w:rsidRPr="00F7446A">
            <w:rPr>
              <w:rFonts w:ascii="游明朝 Light" w:eastAsia="游明朝 Light" w:hAnsi="游明朝 Light" w:cs="Times New Roman" w:hint="eastAsia"/>
              <w:kern w:val="0"/>
              <w:szCs w:val="22"/>
              <w14:ligatures w14:val="none"/>
            </w:rPr>
            <w:t>要　旨</w:t>
          </w:r>
        </w:p>
        <w:p w14:paraId="7D6A2E9E" w14:textId="3E2E796E" w:rsidR="001C37D3" w:rsidRPr="00F7446A" w:rsidRDefault="00163C28" w:rsidP="00F7446A">
          <w:pPr>
            <w:snapToGrid w:val="0"/>
            <w:spacing w:after="0" w:line="240" w:lineRule="auto"/>
            <w:jc w:val="center"/>
            <w:textAlignment w:val="center"/>
            <w:rPr>
              <w:rFonts w:ascii="游明朝 Light" w:eastAsia="游明朝 Light" w:hAnsi="游明朝 Light" w:cs="Times New Roman" w:hint="eastAsia"/>
              <w:kern w:val="0"/>
              <w:sz w:val="20"/>
              <w:szCs w:val="20"/>
              <w14:ligatures w14:val="none"/>
            </w:rPr>
          </w:pPr>
          <w:r w:rsidRPr="00181219">
            <w:rPr>
              <w:rFonts w:ascii="游明朝 Light" w:eastAsia="游明朝 Light" w:hAnsi="游明朝 Light" w:cs="Times New Roman"/>
              <w:kern w:val="0"/>
              <w:sz w:val="20"/>
              <w:szCs w:val="20"/>
              <w14:ligatures w14:val="none"/>
            </w:rPr>
            <w:t>近年、日本の若者の科学離れが深刻化しており、学力テストの結果からも科学への関心の低下が明らかになっている（産経新聞, 2015）。この原因の一つとして、教育システムが知識の暗記に偏重し、探究活動の機会が不足している点が挙げられる。科学教育の改善策として、①実験教育の充実、②</w:t>
          </w:r>
          <w:r w:rsidR="001E27BB" w:rsidRPr="001E27BB">
            <w:rPr>
              <w:rFonts w:ascii="游明朝 Light" w:eastAsia="游明朝 Light" w:hAnsi="游明朝 Light" w:cs="Times New Roman" w:hint="eastAsia"/>
              <w:kern w:val="0"/>
              <w:sz w:val="20"/>
              <w:szCs w:val="20"/>
              <w14:ligatures w14:val="none"/>
            </w:rPr>
            <w:t>探究型カリキュラムの導入</w:t>
          </w:r>
          <w:r w:rsidRPr="00181219">
            <w:rPr>
              <w:rFonts w:ascii="游明朝 Light" w:eastAsia="游明朝 Light" w:hAnsi="游明朝 Light" w:cs="Times New Roman"/>
              <w:kern w:val="0"/>
              <w:sz w:val="20"/>
              <w:szCs w:val="20"/>
              <w14:ligatures w14:val="none"/>
            </w:rPr>
            <w:t>、③</w:t>
          </w:r>
          <w:r w:rsidR="001E27BB" w:rsidRPr="001E27BB">
            <w:rPr>
              <w:rFonts w:ascii="游明朝 Light" w:eastAsia="游明朝 Light" w:hAnsi="游明朝 Light" w:cs="Times New Roman" w:hint="eastAsia"/>
              <w:kern w:val="0"/>
              <w:sz w:val="20"/>
              <w:szCs w:val="20"/>
              <w14:ligatures w14:val="none"/>
            </w:rPr>
            <w:t>地域連携とメディア活用</w:t>
          </w:r>
          <w:r w:rsidR="004659EA">
            <w:rPr>
              <w:rFonts w:ascii="游明朝 Light" w:eastAsia="游明朝 Light" w:hAnsi="游明朝 Light" w:cs="Times New Roman" w:hint="eastAsia"/>
              <w:kern w:val="0"/>
              <w:sz w:val="20"/>
              <w:szCs w:val="20"/>
              <w14:ligatures w14:val="none"/>
            </w:rPr>
            <w:t>を提案</w:t>
          </w:r>
          <w:r w:rsidR="0024398C">
            <w:rPr>
              <w:rFonts w:ascii="游明朝 Light" w:eastAsia="游明朝 Light" w:hAnsi="游明朝 Light" w:cs="Times New Roman" w:hint="eastAsia"/>
              <w:kern w:val="0"/>
              <w:sz w:val="20"/>
              <w:szCs w:val="20"/>
              <w14:ligatures w14:val="none"/>
            </w:rPr>
            <w:t>する</w:t>
          </w:r>
          <w:r w:rsidRPr="00181219">
            <w:rPr>
              <w:rFonts w:ascii="游明朝 Light" w:eastAsia="游明朝 Light" w:hAnsi="游明朝 Light" w:cs="Times New Roman"/>
              <w:kern w:val="0"/>
              <w:sz w:val="20"/>
              <w:szCs w:val="20"/>
              <w14:ligatures w14:val="none"/>
            </w:rPr>
            <w:t>。実験教育や探究型学習を導入することで、子どもたちが科学に対する興味を持続しやすくなり、科学技術人材の育成につながると考えられる。</w:t>
          </w:r>
        </w:p>
        <w:p w14:paraId="0FF4934C" w14:textId="71CF7001" w:rsidR="00C153B4" w:rsidRPr="001C37D3" w:rsidRDefault="00F7446A" w:rsidP="001C37D3">
          <w:pPr>
            <w:spacing w:after="0" w:line="240" w:lineRule="auto"/>
            <w:ind w:rightChars="200" w:right="440"/>
            <w:jc w:val="both"/>
            <w:rPr>
              <w:rFonts w:ascii="ＭＳ 明朝" w:eastAsia="ＭＳ 明朝" w:hAnsi="Century" w:cs="Times New Roman"/>
              <w:kern w:val="0"/>
              <w:sz w:val="20"/>
              <w:szCs w:val="20"/>
              <w14:ligatures w14:val="none"/>
            </w:rPr>
          </w:pPr>
          <w:r w:rsidRPr="00F7446A">
            <w:rPr>
              <w:rFonts w:ascii="ＭＳ 明朝" w:eastAsia="ＭＳ 明朝" w:hAnsi="Century" w:cs="Times New Roman" w:hint="eastAsia"/>
              <w:kern w:val="0"/>
              <w:sz w:val="20"/>
              <w:szCs w:val="20"/>
              <w14:ligatures w14:val="none"/>
            </w:rPr>
            <w:br w:type="page"/>
          </w:r>
        </w:p>
      </w:sdtContent>
    </w:sdt>
    <w:p w14:paraId="1AA132DC" w14:textId="77777777" w:rsidR="002B27BA" w:rsidRPr="00EA7C81" w:rsidRDefault="002B27BA" w:rsidP="00AC509D">
      <w:pPr>
        <w:rPr>
          <w:rFonts w:hint="eastAsia"/>
          <w:sz w:val="20"/>
          <w:szCs w:val="21"/>
        </w:rPr>
      </w:pPr>
    </w:p>
    <w:p w14:paraId="61A6E85E" w14:textId="7C482484" w:rsidR="00AC509D" w:rsidRPr="00EE0688" w:rsidRDefault="00C86873" w:rsidP="00AC509D">
      <w:pPr>
        <w:rPr>
          <w:rFonts w:ascii="游明朝 Demibold" w:eastAsia="游明朝 Demibold" w:hAnsi="游明朝 Demibold"/>
          <w:sz w:val="21"/>
          <w:szCs w:val="22"/>
        </w:rPr>
      </w:pPr>
      <w:r w:rsidRPr="00EE0688">
        <w:rPr>
          <w:rFonts w:ascii="游明朝 Demibold" w:eastAsia="游明朝 Demibold" w:hAnsi="游明朝 Demibold" w:hint="eastAsia"/>
          <w:sz w:val="21"/>
          <w:szCs w:val="22"/>
        </w:rPr>
        <w:t>Ⅰ</w:t>
      </w:r>
      <w:r w:rsidR="00F3002D" w:rsidRPr="00EE0688">
        <w:rPr>
          <w:rFonts w:ascii="游明朝 Demibold" w:eastAsia="游明朝 Demibold" w:hAnsi="游明朝 Demibold" w:hint="eastAsia"/>
          <w:sz w:val="21"/>
          <w:szCs w:val="22"/>
        </w:rPr>
        <w:t>はじめに</w:t>
      </w:r>
    </w:p>
    <w:p w14:paraId="616AC20C" w14:textId="5710AC06" w:rsidR="00AC509D" w:rsidRPr="00EA7C81" w:rsidRDefault="00CD2341" w:rsidP="00AC509D">
      <w:pPr>
        <w:rPr>
          <w:sz w:val="20"/>
          <w:szCs w:val="21"/>
        </w:rPr>
      </w:pPr>
      <w:r w:rsidRPr="00CD2341">
        <w:rPr>
          <w:sz w:val="20"/>
          <w:szCs w:val="21"/>
        </w:rPr>
        <w:t>近年、日本の若者の科学離れが深刻化している。2015年8月27日の産経新聞によれば、全国学力テストにおいて「5%の水溶液100グラムを作る」設問の正答率が46%と低く、基礎的な科学リテラシーの低下が顕著である。日本はロボット工学や電子機器などで「技術大国」と称される一方、若年層の科学への関心低下は将来的な技術衰退の危機を暗示する。特に、資源に乏しく輸入依存度の高い日本にとって、科学技術の継承は国家的課題である。しかし、現在の教育システムは知識の暗記に偏重し、「なぜ」という疑問を育む実験や探究活動が軽視されている。本稿では、科学離れの背景を分析し、好奇心を軸とした教育の転換策を提案する。</w:t>
      </w:r>
    </w:p>
    <w:p w14:paraId="2AA398D8" w14:textId="463B05AF" w:rsidR="00AC509D" w:rsidRPr="00EE0688" w:rsidRDefault="00C86873" w:rsidP="00AC509D">
      <w:pPr>
        <w:rPr>
          <w:rFonts w:ascii="游明朝 Demibold" w:eastAsia="游明朝 Demibold" w:hAnsi="游明朝 Demibold" w:hint="eastAsia"/>
          <w:sz w:val="21"/>
          <w:szCs w:val="22"/>
        </w:rPr>
      </w:pPr>
      <w:r w:rsidRPr="00EE0688">
        <w:rPr>
          <w:rFonts w:ascii="游明朝 Demibold" w:eastAsia="游明朝 Demibold" w:hAnsi="游明朝 Demibold" w:hint="eastAsia"/>
          <w:sz w:val="21"/>
          <w:szCs w:val="22"/>
        </w:rPr>
        <w:t>Ⅱ</w:t>
      </w:r>
      <w:r w:rsidR="00AC509D" w:rsidRPr="00EE0688">
        <w:rPr>
          <w:rFonts w:ascii="游明朝 Demibold" w:eastAsia="游明朝 Demibold" w:hAnsi="游明朝 Demibold"/>
          <w:sz w:val="21"/>
          <w:szCs w:val="22"/>
        </w:rPr>
        <w:t>科学離れの現状と原因</w:t>
      </w:r>
    </w:p>
    <w:p w14:paraId="5838D2A0" w14:textId="78704B7C" w:rsidR="00AC509D" w:rsidRPr="00EA7C81" w:rsidRDefault="00AC509D" w:rsidP="00AC509D">
      <w:pPr>
        <w:rPr>
          <w:rFonts w:hint="eastAsia"/>
          <w:sz w:val="20"/>
          <w:szCs w:val="21"/>
        </w:rPr>
      </w:pPr>
      <w:r w:rsidRPr="00EA7C81">
        <w:rPr>
          <w:rFonts w:hint="eastAsia"/>
          <w:sz w:val="20"/>
          <w:szCs w:val="21"/>
        </w:rPr>
        <w:t>科学離れの傾向は</w:t>
      </w:r>
      <w:r w:rsidRPr="00EA7C81">
        <w:rPr>
          <w:sz w:val="20"/>
          <w:szCs w:val="21"/>
        </w:rPr>
        <w:t>1980年代後半から指摘されており、多くの調査結果がその進行を示している（長沼, 2015）。例えば、</w:t>
      </w:r>
      <w:r w:rsidR="00723B06" w:rsidRPr="00723B06">
        <w:rPr>
          <w:sz w:val="20"/>
          <w:szCs w:val="21"/>
        </w:rPr>
        <w:t>2015年8月25日の産経ニュースの学力テストアンケートでは、</w:t>
      </w:r>
      <w:r w:rsidRPr="00EA7C81">
        <w:rPr>
          <w:sz w:val="20"/>
          <w:szCs w:val="21"/>
        </w:rPr>
        <w:t>『</w:t>
      </w:r>
      <w:r w:rsidR="002721C5">
        <w:rPr>
          <w:rFonts w:hint="eastAsia"/>
          <w:sz w:val="20"/>
          <w:szCs w:val="21"/>
        </w:rPr>
        <w:t>「</w:t>
      </w:r>
      <w:r w:rsidR="002721C5" w:rsidRPr="002721C5">
        <w:rPr>
          <w:rFonts w:hint="eastAsia"/>
          <w:sz w:val="20"/>
          <w:szCs w:val="21"/>
        </w:rPr>
        <w:t>理科の勉強が好き」と答えた小６は８３・５％。小学校で理科は人気教科だが、中３になると６１・９％まで減少する。</w:t>
      </w:r>
      <w:r w:rsidR="00DA2C32">
        <w:rPr>
          <w:rFonts w:hint="eastAsia"/>
          <w:sz w:val="20"/>
          <w:szCs w:val="21"/>
        </w:rPr>
        <w:t>』</w:t>
      </w:r>
      <w:r w:rsidR="00FB1415">
        <w:rPr>
          <w:rFonts w:hint="eastAsia"/>
          <w:sz w:val="20"/>
          <w:szCs w:val="21"/>
        </w:rPr>
        <w:t>と</w:t>
      </w:r>
      <w:r w:rsidR="00FB1415" w:rsidRPr="00FB1415">
        <w:rPr>
          <w:sz w:val="20"/>
          <w:szCs w:val="21"/>
        </w:rPr>
        <w:t>20</w:t>
      </w:r>
      <w:r w:rsidR="0085778E">
        <w:rPr>
          <w:rFonts w:hint="eastAsia"/>
          <w:sz w:val="20"/>
          <w:szCs w:val="21"/>
        </w:rPr>
        <w:t>％</w:t>
      </w:r>
      <w:r w:rsidR="00FB1415" w:rsidRPr="00FB1415">
        <w:rPr>
          <w:sz w:val="20"/>
          <w:szCs w:val="21"/>
        </w:rPr>
        <w:t>以上減少</w:t>
      </w:r>
      <w:r w:rsidR="001E05C3">
        <w:rPr>
          <w:rFonts w:hint="eastAsia"/>
          <w:sz w:val="20"/>
          <w:szCs w:val="21"/>
        </w:rPr>
        <w:t>した</w:t>
      </w:r>
      <w:r w:rsidR="00FB1415" w:rsidRPr="00FB1415">
        <w:rPr>
          <w:sz w:val="20"/>
          <w:szCs w:val="21"/>
        </w:rPr>
        <w:t>。この急激な関心低下は、教育段階が進むにつれ暗記中心の学習が強化されること</w:t>
      </w:r>
      <w:r w:rsidR="001E05C3">
        <w:rPr>
          <w:rFonts w:hint="eastAsia"/>
          <w:sz w:val="20"/>
          <w:szCs w:val="21"/>
        </w:rPr>
        <w:t>を</w:t>
      </w:r>
      <w:r w:rsidR="00203E1E">
        <w:rPr>
          <w:rFonts w:hint="eastAsia"/>
          <w:sz w:val="20"/>
          <w:szCs w:val="21"/>
        </w:rPr>
        <w:t>示唆している</w:t>
      </w:r>
      <w:r w:rsidR="00FB1415" w:rsidRPr="00FB1415">
        <w:rPr>
          <w:sz w:val="20"/>
          <w:szCs w:val="21"/>
        </w:rPr>
        <w:t>。長沼（2015）は、「初等教育では理科への好奇心が高いが、中等教育では学習内容の難化と日常生活での応用機会の欠如により、興味がかき消される」と指摘する。例えば、水溶液の濃度計算や化学反応式の暗記は、実生活との関連性が説明されないまま進むため、生徒は「学ぶ意味」を見失う。</w:t>
      </w:r>
    </w:p>
    <w:p w14:paraId="535D8BFB" w14:textId="5DD392FA" w:rsidR="00AC509D" w:rsidRPr="00EA7C81" w:rsidRDefault="000606A8" w:rsidP="00AC509D">
      <w:pPr>
        <w:rPr>
          <w:sz w:val="20"/>
          <w:szCs w:val="21"/>
        </w:rPr>
      </w:pPr>
      <w:r w:rsidRPr="000606A8">
        <w:rPr>
          <w:sz w:val="20"/>
          <w:szCs w:val="21"/>
        </w:rPr>
        <w:t>さらに、アインシュタインは好奇心を「繊細な若草」と呼び、その成長には自由な環境が不可欠だと述べた。「この若草は、刺激に加えて自由を必要とする。自由がなければ、必ず枯れてしまう」（酒井, 2005, p.118）。しかし、日本の教育現場では、偏差値競争による「覚えること」の優先が、この自由を奪っている。生徒は試験対策として公式や用語を暗記するが、「なぜ光は屈折するのか」「なぜ金属は錆びるのか」といった根本的な問いを深める余裕がない。結果、科学は「面白くない暗記科目」と認識され、関心が失われるのである。</w:t>
      </w:r>
    </w:p>
    <w:p w14:paraId="34A7E423" w14:textId="05FD4F0F" w:rsidR="00AC509D" w:rsidRPr="00EE0688" w:rsidRDefault="00C86873" w:rsidP="00AC509D">
      <w:pPr>
        <w:rPr>
          <w:rFonts w:ascii="游明朝 Demibold" w:eastAsia="游明朝 Demibold" w:hAnsi="游明朝 Demibold" w:hint="eastAsia"/>
          <w:sz w:val="21"/>
          <w:szCs w:val="22"/>
        </w:rPr>
      </w:pPr>
      <w:r w:rsidRPr="00EE0688">
        <w:rPr>
          <w:rFonts w:ascii="游明朝 Demibold" w:eastAsia="游明朝 Demibold" w:hAnsi="游明朝 Demibold" w:hint="eastAsia"/>
          <w:sz w:val="21"/>
          <w:szCs w:val="22"/>
        </w:rPr>
        <w:t>Ⅲ</w:t>
      </w:r>
      <w:r w:rsidR="00AC509D" w:rsidRPr="00EE0688">
        <w:rPr>
          <w:rFonts w:ascii="游明朝 Demibold" w:eastAsia="游明朝 Demibold" w:hAnsi="游明朝 Demibold"/>
          <w:sz w:val="21"/>
          <w:szCs w:val="22"/>
        </w:rPr>
        <w:t>科学教育の改善策</w:t>
      </w:r>
    </w:p>
    <w:p w14:paraId="50BE9450" w14:textId="77777777" w:rsidR="000D076F" w:rsidRPr="000D076F" w:rsidRDefault="000D076F" w:rsidP="000D076F">
      <w:pPr>
        <w:rPr>
          <w:sz w:val="20"/>
          <w:szCs w:val="21"/>
        </w:rPr>
      </w:pPr>
      <w:r w:rsidRPr="000D076F">
        <w:rPr>
          <w:sz w:val="20"/>
          <w:szCs w:val="21"/>
        </w:rPr>
        <w:t>科学離れを防ぐためには、以下の具体策が有効である。</w:t>
      </w:r>
    </w:p>
    <w:p w14:paraId="3A4C91FC" w14:textId="77777777" w:rsidR="000D076F" w:rsidRPr="000D076F" w:rsidRDefault="000D076F" w:rsidP="000D076F">
      <w:pPr>
        <w:rPr>
          <w:sz w:val="20"/>
          <w:szCs w:val="21"/>
        </w:rPr>
      </w:pPr>
      <w:r w:rsidRPr="000D076F">
        <w:rPr>
          <w:b/>
          <w:bCs/>
          <w:sz w:val="20"/>
          <w:szCs w:val="21"/>
        </w:rPr>
        <w:t>1. 実験教育の徹底的な充実</w:t>
      </w:r>
      <w:r w:rsidRPr="000D076F">
        <w:rPr>
          <w:sz w:val="20"/>
          <w:szCs w:val="21"/>
        </w:rPr>
        <w:br/>
        <w:t>大分県の「子ども科学教室」では、参加児童の70%が「科学の仕事に興味がある」と回答し、非参加者（45%）を大幅に上回った（軸丸他, 2007）。例えば、電気回路の実験では、豆電球の明るさが電池の数や配線方法で変わることを体感させる。このような体験は、「理論の暗記」で</w:t>
      </w:r>
      <w:r w:rsidRPr="000D076F">
        <w:rPr>
          <w:sz w:val="20"/>
          <w:szCs w:val="21"/>
        </w:rPr>
        <w:lastRenderedPageBreak/>
        <w:t>はなく「現象の理解」を促し、自発的な疑問を生む。</w:t>
      </w:r>
    </w:p>
    <w:p w14:paraId="268950FB" w14:textId="77777777" w:rsidR="000D076F" w:rsidRPr="000D076F" w:rsidRDefault="000D076F" w:rsidP="000D076F">
      <w:pPr>
        <w:rPr>
          <w:sz w:val="20"/>
          <w:szCs w:val="21"/>
        </w:rPr>
      </w:pPr>
      <w:r w:rsidRPr="000D076F">
        <w:rPr>
          <w:b/>
          <w:bCs/>
          <w:sz w:val="20"/>
          <w:szCs w:val="21"/>
        </w:rPr>
        <w:t>2. 探究型カリキュラムの導入</w:t>
      </w:r>
      <w:r w:rsidRPr="000D076F">
        <w:rPr>
          <w:sz w:val="20"/>
          <w:szCs w:val="21"/>
        </w:rPr>
        <w:br/>
        <w:t>OECD-PISA調査（2015）によれば、日本の生徒の科学的リテラシーは世界3位だが、「科学への関心」は38か国中28位と低迷する。この乖離は、知識の詰め込みと好奇心の軽視を反映する。改善例として、フィンランドでは「なぜ空は青いか」を議論し、生徒自身が仮説を立てて検証する授業が行われる。日本でも、例えば「なぜペットボトルは温めると凹むか」といった身近なテーマを題材に、観察→仮説→実験→考察のプロセスを重視すべきである。</w:t>
      </w:r>
    </w:p>
    <w:p w14:paraId="7CF47E41" w14:textId="77777777" w:rsidR="000D076F" w:rsidRPr="000D076F" w:rsidRDefault="000D076F" w:rsidP="000D076F">
      <w:pPr>
        <w:rPr>
          <w:sz w:val="20"/>
          <w:szCs w:val="21"/>
        </w:rPr>
      </w:pPr>
      <w:r w:rsidRPr="000D076F">
        <w:rPr>
          <w:b/>
          <w:bCs/>
          <w:sz w:val="20"/>
          <w:szCs w:val="21"/>
        </w:rPr>
        <w:t>3. 地域連携とメディア活用</w:t>
      </w:r>
      <w:r w:rsidRPr="000D076F">
        <w:rPr>
          <w:sz w:val="20"/>
          <w:szCs w:val="21"/>
        </w:rPr>
        <w:br/>
        <w:t>テレビ番組『でんじろう先生の実験教室』は、視聴者の70%が「理科への興味が高まった」と回答する（日本科学振興協会, 2016）。学校外でも、科学館や企業と連携したサイエンスキャンプを開催し、ロケット打ち上げやDNA抽出実験など、大規模な体験機会を提供する。</w:t>
      </w:r>
    </w:p>
    <w:p w14:paraId="33E72980" w14:textId="77777777" w:rsidR="0072419B" w:rsidRPr="000D076F" w:rsidRDefault="0072419B" w:rsidP="00AC509D">
      <w:pPr>
        <w:rPr>
          <w:rFonts w:hint="eastAsia"/>
          <w:sz w:val="20"/>
          <w:szCs w:val="21"/>
        </w:rPr>
      </w:pPr>
    </w:p>
    <w:p w14:paraId="1315BEBA" w14:textId="77777777" w:rsidR="00AC509D" w:rsidRPr="00EA7C81" w:rsidRDefault="00AC509D" w:rsidP="00AC509D">
      <w:pPr>
        <w:rPr>
          <w:sz w:val="20"/>
          <w:szCs w:val="21"/>
        </w:rPr>
      </w:pPr>
    </w:p>
    <w:p w14:paraId="4966797F" w14:textId="377B58B7" w:rsidR="00AC509D" w:rsidRPr="00EE0688" w:rsidRDefault="00C86873" w:rsidP="00AC509D">
      <w:pPr>
        <w:rPr>
          <w:rFonts w:ascii="游明朝 Demibold" w:eastAsia="游明朝 Demibold" w:hAnsi="游明朝 Demibold" w:hint="eastAsia"/>
          <w:sz w:val="21"/>
          <w:szCs w:val="22"/>
        </w:rPr>
      </w:pPr>
      <w:r w:rsidRPr="00EE0688">
        <w:rPr>
          <w:rFonts w:ascii="游明朝 Demibold" w:eastAsia="游明朝 Demibold" w:hAnsi="游明朝 Demibold" w:hint="eastAsia"/>
          <w:sz w:val="21"/>
          <w:szCs w:val="22"/>
        </w:rPr>
        <w:t>Ⅳ</w:t>
      </w:r>
      <w:r w:rsidR="00AC509D" w:rsidRPr="00EE0688">
        <w:rPr>
          <w:rFonts w:ascii="游明朝 Demibold" w:eastAsia="游明朝 Demibold" w:hAnsi="游明朝 Demibold" w:hint="eastAsia"/>
          <w:sz w:val="21"/>
          <w:szCs w:val="22"/>
        </w:rPr>
        <w:t>結論</w:t>
      </w:r>
    </w:p>
    <w:p w14:paraId="43D92064" w14:textId="06B0427A" w:rsidR="003A0C55" w:rsidRPr="00EA7C81" w:rsidRDefault="00AC509D" w:rsidP="00AC509D">
      <w:pPr>
        <w:rPr>
          <w:sz w:val="20"/>
          <w:szCs w:val="21"/>
        </w:rPr>
      </w:pPr>
      <w:r w:rsidRPr="00EA7C81">
        <w:rPr>
          <w:rFonts w:hint="eastAsia"/>
          <w:sz w:val="20"/>
          <w:szCs w:val="21"/>
        </w:rPr>
        <w:t>本稿では、若者の科学離れの現状とその原因を分析し、解決策として実験教育の充実、探究型学習の導入、</w:t>
      </w:r>
      <w:r w:rsidR="00A8771D" w:rsidRPr="00A8771D">
        <w:rPr>
          <w:rFonts w:hint="eastAsia"/>
          <w:sz w:val="20"/>
          <w:szCs w:val="21"/>
        </w:rPr>
        <w:t>探究型カリキュラムの導入</w:t>
      </w:r>
      <w:r w:rsidRPr="00EA7C81">
        <w:rPr>
          <w:rFonts w:hint="eastAsia"/>
          <w:sz w:val="20"/>
          <w:szCs w:val="21"/>
        </w:rPr>
        <w:t>、そして</w:t>
      </w:r>
      <w:r w:rsidR="00A8771D" w:rsidRPr="00A8771D">
        <w:rPr>
          <w:rFonts w:hint="eastAsia"/>
          <w:sz w:val="20"/>
          <w:szCs w:val="21"/>
        </w:rPr>
        <w:t>地域連携と</w:t>
      </w:r>
      <w:r w:rsidRPr="00EA7C81">
        <w:rPr>
          <w:rFonts w:hint="eastAsia"/>
          <w:sz w:val="20"/>
          <w:szCs w:val="21"/>
        </w:rPr>
        <w:t>メディアの活用の重要性を示した。</w:t>
      </w:r>
      <w:r w:rsidR="00A8771D" w:rsidRPr="00A8771D">
        <w:rPr>
          <w:sz w:val="20"/>
          <w:szCs w:val="21"/>
        </w:rPr>
        <w:t>若者の科学離れは、暗記偏重の教育が「ふしぎだと思う心」を窒息させた結果である。アインシュタインが指摘するように、好奇心は自由な環境でしか育たない「繊細な若草」だ。改善のためには、実験や探究活動を通じて「なぜ」を追求する授業が不可欠である。大分県の事例や国際的な教育動向を参考に、知識の詰め込みから「問いを育てる教育」へ転換する必要がある。さらに、地域やメディアとの連携で科学の楽しさを社会全体で伝えることが、次世代の科学人材育成に繋がるだろう。</w:t>
      </w:r>
    </w:p>
    <w:sectPr w:rsidR="003A0C55" w:rsidRPr="00EA7C81" w:rsidSect="00C153B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85AC5" w14:textId="77777777" w:rsidR="00A53F15" w:rsidRDefault="00A53F15" w:rsidP="00A53F15">
      <w:pPr>
        <w:spacing w:after="0" w:line="240" w:lineRule="auto"/>
      </w:pPr>
      <w:r>
        <w:separator/>
      </w:r>
    </w:p>
  </w:endnote>
  <w:endnote w:type="continuationSeparator" w:id="0">
    <w:p w14:paraId="1A01C1D3" w14:textId="77777777" w:rsidR="00A53F15" w:rsidRDefault="00A53F15" w:rsidP="00A5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Light">
    <w:panose1 w:val="020203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64F07" w14:textId="77777777" w:rsidR="00A53F15" w:rsidRDefault="00A53F15" w:rsidP="00A53F15">
      <w:pPr>
        <w:spacing w:after="0" w:line="240" w:lineRule="auto"/>
      </w:pPr>
      <w:r>
        <w:separator/>
      </w:r>
    </w:p>
  </w:footnote>
  <w:footnote w:type="continuationSeparator" w:id="0">
    <w:p w14:paraId="31ABF634" w14:textId="77777777" w:rsidR="00A53F15" w:rsidRDefault="00A53F15" w:rsidP="00A53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A081D"/>
    <w:multiLevelType w:val="multilevel"/>
    <w:tmpl w:val="D136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F16C5"/>
    <w:multiLevelType w:val="multilevel"/>
    <w:tmpl w:val="7AB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0419">
    <w:abstractNumId w:val="1"/>
  </w:num>
  <w:num w:numId="2" w16cid:durableId="62411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4A"/>
    <w:rsid w:val="00001C4A"/>
    <w:rsid w:val="000606A8"/>
    <w:rsid w:val="0008422E"/>
    <w:rsid w:val="000A01F4"/>
    <w:rsid w:val="000D076F"/>
    <w:rsid w:val="000E43B6"/>
    <w:rsid w:val="001339A8"/>
    <w:rsid w:val="00163C28"/>
    <w:rsid w:val="00181219"/>
    <w:rsid w:val="001A0774"/>
    <w:rsid w:val="001C37D3"/>
    <w:rsid w:val="001E05C3"/>
    <w:rsid w:val="001E27BB"/>
    <w:rsid w:val="00203E1E"/>
    <w:rsid w:val="0024398C"/>
    <w:rsid w:val="002721C5"/>
    <w:rsid w:val="002B27BA"/>
    <w:rsid w:val="00375120"/>
    <w:rsid w:val="003A0C55"/>
    <w:rsid w:val="003B67F2"/>
    <w:rsid w:val="003C7839"/>
    <w:rsid w:val="00412D64"/>
    <w:rsid w:val="00435918"/>
    <w:rsid w:val="00445AB9"/>
    <w:rsid w:val="004659EA"/>
    <w:rsid w:val="004D7843"/>
    <w:rsid w:val="005747D1"/>
    <w:rsid w:val="005A7642"/>
    <w:rsid w:val="00602BA1"/>
    <w:rsid w:val="006C4779"/>
    <w:rsid w:val="006D2BD0"/>
    <w:rsid w:val="00723B06"/>
    <w:rsid w:val="0072419B"/>
    <w:rsid w:val="00761872"/>
    <w:rsid w:val="0085778E"/>
    <w:rsid w:val="009101BF"/>
    <w:rsid w:val="00936D1D"/>
    <w:rsid w:val="00940B46"/>
    <w:rsid w:val="0099085A"/>
    <w:rsid w:val="00A43904"/>
    <w:rsid w:val="00A4588A"/>
    <w:rsid w:val="00A53F15"/>
    <w:rsid w:val="00A8771D"/>
    <w:rsid w:val="00A92C1D"/>
    <w:rsid w:val="00AC509D"/>
    <w:rsid w:val="00B91D6E"/>
    <w:rsid w:val="00BF4CEC"/>
    <w:rsid w:val="00C153B4"/>
    <w:rsid w:val="00C54F70"/>
    <w:rsid w:val="00C86873"/>
    <w:rsid w:val="00C923F6"/>
    <w:rsid w:val="00CD2341"/>
    <w:rsid w:val="00CF53BA"/>
    <w:rsid w:val="00DA2C32"/>
    <w:rsid w:val="00DA304E"/>
    <w:rsid w:val="00E5112D"/>
    <w:rsid w:val="00E8035C"/>
    <w:rsid w:val="00EA7C81"/>
    <w:rsid w:val="00EE0688"/>
    <w:rsid w:val="00F019A8"/>
    <w:rsid w:val="00F264A9"/>
    <w:rsid w:val="00F3002D"/>
    <w:rsid w:val="00F73FC2"/>
    <w:rsid w:val="00F7446A"/>
    <w:rsid w:val="00FB1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E59BDF"/>
  <w15:chartTrackingRefBased/>
  <w15:docId w15:val="{CF8F22C6-6368-44E1-8701-16BC98A8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01C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01C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01C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01C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01C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01C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01C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01C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01C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01C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01C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01C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01C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01C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01C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01C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01C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01C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01C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01C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C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01C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1C4A"/>
    <w:pPr>
      <w:spacing w:before="160"/>
      <w:jc w:val="center"/>
    </w:pPr>
    <w:rPr>
      <w:i/>
      <w:iCs/>
      <w:color w:val="404040" w:themeColor="text1" w:themeTint="BF"/>
    </w:rPr>
  </w:style>
  <w:style w:type="character" w:customStyle="1" w:styleId="a8">
    <w:name w:val="引用文 (文字)"/>
    <w:basedOn w:val="a0"/>
    <w:link w:val="a7"/>
    <w:uiPriority w:val="29"/>
    <w:rsid w:val="00001C4A"/>
    <w:rPr>
      <w:i/>
      <w:iCs/>
      <w:color w:val="404040" w:themeColor="text1" w:themeTint="BF"/>
    </w:rPr>
  </w:style>
  <w:style w:type="paragraph" w:styleId="a9">
    <w:name w:val="List Paragraph"/>
    <w:basedOn w:val="a"/>
    <w:uiPriority w:val="34"/>
    <w:qFormat/>
    <w:rsid w:val="00001C4A"/>
    <w:pPr>
      <w:ind w:left="720"/>
      <w:contextualSpacing/>
    </w:pPr>
  </w:style>
  <w:style w:type="character" w:styleId="21">
    <w:name w:val="Intense Emphasis"/>
    <w:basedOn w:val="a0"/>
    <w:uiPriority w:val="21"/>
    <w:qFormat/>
    <w:rsid w:val="00001C4A"/>
    <w:rPr>
      <w:i/>
      <w:iCs/>
      <w:color w:val="0F4761" w:themeColor="accent1" w:themeShade="BF"/>
    </w:rPr>
  </w:style>
  <w:style w:type="paragraph" w:styleId="22">
    <w:name w:val="Intense Quote"/>
    <w:basedOn w:val="a"/>
    <w:next w:val="a"/>
    <w:link w:val="23"/>
    <w:uiPriority w:val="30"/>
    <w:qFormat/>
    <w:rsid w:val="00001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01C4A"/>
    <w:rPr>
      <w:i/>
      <w:iCs/>
      <w:color w:val="0F4761" w:themeColor="accent1" w:themeShade="BF"/>
    </w:rPr>
  </w:style>
  <w:style w:type="character" w:styleId="24">
    <w:name w:val="Intense Reference"/>
    <w:basedOn w:val="a0"/>
    <w:uiPriority w:val="32"/>
    <w:qFormat/>
    <w:rsid w:val="00001C4A"/>
    <w:rPr>
      <w:b/>
      <w:bCs/>
      <w:smallCaps/>
      <w:color w:val="0F4761" w:themeColor="accent1" w:themeShade="BF"/>
      <w:spacing w:val="5"/>
    </w:rPr>
  </w:style>
  <w:style w:type="paragraph" w:styleId="aa">
    <w:name w:val="header"/>
    <w:basedOn w:val="a"/>
    <w:link w:val="ab"/>
    <w:uiPriority w:val="99"/>
    <w:unhideWhenUsed/>
    <w:rsid w:val="00A53F15"/>
    <w:pPr>
      <w:tabs>
        <w:tab w:val="center" w:pos="4252"/>
        <w:tab w:val="right" w:pos="8504"/>
      </w:tabs>
      <w:snapToGrid w:val="0"/>
    </w:pPr>
  </w:style>
  <w:style w:type="character" w:customStyle="1" w:styleId="ab">
    <w:name w:val="ヘッダー (文字)"/>
    <w:basedOn w:val="a0"/>
    <w:link w:val="aa"/>
    <w:uiPriority w:val="99"/>
    <w:rsid w:val="00A53F15"/>
  </w:style>
  <w:style w:type="paragraph" w:styleId="ac">
    <w:name w:val="footer"/>
    <w:basedOn w:val="a"/>
    <w:link w:val="ad"/>
    <w:uiPriority w:val="99"/>
    <w:unhideWhenUsed/>
    <w:rsid w:val="00A53F15"/>
    <w:pPr>
      <w:tabs>
        <w:tab w:val="center" w:pos="4252"/>
        <w:tab w:val="right" w:pos="8504"/>
      </w:tabs>
      <w:snapToGrid w:val="0"/>
    </w:pPr>
  </w:style>
  <w:style w:type="character" w:customStyle="1" w:styleId="ad">
    <w:name w:val="フッター (文字)"/>
    <w:basedOn w:val="a0"/>
    <w:link w:val="ac"/>
    <w:uiPriority w:val="99"/>
    <w:rsid w:val="00A53F15"/>
  </w:style>
  <w:style w:type="paragraph" w:styleId="ae">
    <w:name w:val="No Spacing"/>
    <w:link w:val="af"/>
    <w:uiPriority w:val="1"/>
    <w:qFormat/>
    <w:rsid w:val="00C153B4"/>
    <w:pPr>
      <w:spacing w:after="0" w:line="240" w:lineRule="auto"/>
    </w:pPr>
    <w:rPr>
      <w:kern w:val="0"/>
      <w:szCs w:val="22"/>
      <w14:ligatures w14:val="none"/>
    </w:rPr>
  </w:style>
  <w:style w:type="character" w:customStyle="1" w:styleId="af">
    <w:name w:val="行間詰め (文字)"/>
    <w:basedOn w:val="a0"/>
    <w:link w:val="ae"/>
    <w:uiPriority w:val="1"/>
    <w:rsid w:val="00C153B4"/>
    <w:rPr>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9774">
      <w:bodyDiv w:val="1"/>
      <w:marLeft w:val="0"/>
      <w:marRight w:val="0"/>
      <w:marTop w:val="0"/>
      <w:marBottom w:val="0"/>
      <w:divBdr>
        <w:top w:val="none" w:sz="0" w:space="0" w:color="auto"/>
        <w:left w:val="none" w:sz="0" w:space="0" w:color="auto"/>
        <w:bottom w:val="none" w:sz="0" w:space="0" w:color="auto"/>
        <w:right w:val="none" w:sz="0" w:space="0" w:color="auto"/>
      </w:divBdr>
    </w:div>
    <w:div w:id="136460541">
      <w:bodyDiv w:val="1"/>
      <w:marLeft w:val="0"/>
      <w:marRight w:val="0"/>
      <w:marTop w:val="0"/>
      <w:marBottom w:val="0"/>
      <w:divBdr>
        <w:top w:val="none" w:sz="0" w:space="0" w:color="auto"/>
        <w:left w:val="none" w:sz="0" w:space="0" w:color="auto"/>
        <w:bottom w:val="none" w:sz="0" w:space="0" w:color="auto"/>
        <w:right w:val="none" w:sz="0" w:space="0" w:color="auto"/>
      </w:divBdr>
    </w:div>
    <w:div w:id="260066152">
      <w:bodyDiv w:val="1"/>
      <w:marLeft w:val="0"/>
      <w:marRight w:val="0"/>
      <w:marTop w:val="0"/>
      <w:marBottom w:val="0"/>
      <w:divBdr>
        <w:top w:val="none" w:sz="0" w:space="0" w:color="auto"/>
        <w:left w:val="none" w:sz="0" w:space="0" w:color="auto"/>
        <w:bottom w:val="none" w:sz="0" w:space="0" w:color="auto"/>
        <w:right w:val="none" w:sz="0" w:space="0" w:color="auto"/>
      </w:divBdr>
    </w:div>
    <w:div w:id="513616442">
      <w:bodyDiv w:val="1"/>
      <w:marLeft w:val="0"/>
      <w:marRight w:val="0"/>
      <w:marTop w:val="0"/>
      <w:marBottom w:val="0"/>
      <w:divBdr>
        <w:top w:val="none" w:sz="0" w:space="0" w:color="auto"/>
        <w:left w:val="none" w:sz="0" w:space="0" w:color="auto"/>
        <w:bottom w:val="none" w:sz="0" w:space="0" w:color="auto"/>
        <w:right w:val="none" w:sz="0" w:space="0" w:color="auto"/>
      </w:divBdr>
    </w:div>
    <w:div w:id="718746876">
      <w:bodyDiv w:val="1"/>
      <w:marLeft w:val="0"/>
      <w:marRight w:val="0"/>
      <w:marTop w:val="0"/>
      <w:marBottom w:val="0"/>
      <w:divBdr>
        <w:top w:val="none" w:sz="0" w:space="0" w:color="auto"/>
        <w:left w:val="none" w:sz="0" w:space="0" w:color="auto"/>
        <w:bottom w:val="none" w:sz="0" w:space="0" w:color="auto"/>
        <w:right w:val="none" w:sz="0" w:space="0" w:color="auto"/>
      </w:divBdr>
    </w:div>
    <w:div w:id="822282601">
      <w:bodyDiv w:val="1"/>
      <w:marLeft w:val="0"/>
      <w:marRight w:val="0"/>
      <w:marTop w:val="0"/>
      <w:marBottom w:val="0"/>
      <w:divBdr>
        <w:top w:val="none" w:sz="0" w:space="0" w:color="auto"/>
        <w:left w:val="none" w:sz="0" w:space="0" w:color="auto"/>
        <w:bottom w:val="none" w:sz="0" w:space="0" w:color="auto"/>
        <w:right w:val="none" w:sz="0" w:space="0" w:color="auto"/>
      </w:divBdr>
    </w:div>
    <w:div w:id="889879799">
      <w:bodyDiv w:val="1"/>
      <w:marLeft w:val="0"/>
      <w:marRight w:val="0"/>
      <w:marTop w:val="0"/>
      <w:marBottom w:val="0"/>
      <w:divBdr>
        <w:top w:val="none" w:sz="0" w:space="0" w:color="auto"/>
        <w:left w:val="none" w:sz="0" w:space="0" w:color="auto"/>
        <w:bottom w:val="none" w:sz="0" w:space="0" w:color="auto"/>
        <w:right w:val="none" w:sz="0" w:space="0" w:color="auto"/>
      </w:divBdr>
    </w:div>
    <w:div w:id="896740933">
      <w:bodyDiv w:val="1"/>
      <w:marLeft w:val="0"/>
      <w:marRight w:val="0"/>
      <w:marTop w:val="0"/>
      <w:marBottom w:val="0"/>
      <w:divBdr>
        <w:top w:val="none" w:sz="0" w:space="0" w:color="auto"/>
        <w:left w:val="none" w:sz="0" w:space="0" w:color="auto"/>
        <w:bottom w:val="none" w:sz="0" w:space="0" w:color="auto"/>
        <w:right w:val="none" w:sz="0" w:space="0" w:color="auto"/>
      </w:divBdr>
    </w:div>
    <w:div w:id="1071998996">
      <w:bodyDiv w:val="1"/>
      <w:marLeft w:val="0"/>
      <w:marRight w:val="0"/>
      <w:marTop w:val="0"/>
      <w:marBottom w:val="0"/>
      <w:divBdr>
        <w:top w:val="none" w:sz="0" w:space="0" w:color="auto"/>
        <w:left w:val="none" w:sz="0" w:space="0" w:color="auto"/>
        <w:bottom w:val="none" w:sz="0" w:space="0" w:color="auto"/>
        <w:right w:val="none" w:sz="0" w:space="0" w:color="auto"/>
      </w:divBdr>
    </w:div>
    <w:div w:id="1328940087">
      <w:bodyDiv w:val="1"/>
      <w:marLeft w:val="0"/>
      <w:marRight w:val="0"/>
      <w:marTop w:val="0"/>
      <w:marBottom w:val="0"/>
      <w:divBdr>
        <w:top w:val="none" w:sz="0" w:space="0" w:color="auto"/>
        <w:left w:val="none" w:sz="0" w:space="0" w:color="auto"/>
        <w:bottom w:val="none" w:sz="0" w:space="0" w:color="auto"/>
        <w:right w:val="none" w:sz="0" w:space="0" w:color="auto"/>
      </w:divBdr>
    </w:div>
    <w:div w:id="1520700927">
      <w:bodyDiv w:val="1"/>
      <w:marLeft w:val="0"/>
      <w:marRight w:val="0"/>
      <w:marTop w:val="0"/>
      <w:marBottom w:val="0"/>
      <w:divBdr>
        <w:top w:val="none" w:sz="0" w:space="0" w:color="auto"/>
        <w:left w:val="none" w:sz="0" w:space="0" w:color="auto"/>
        <w:bottom w:val="none" w:sz="0" w:space="0" w:color="auto"/>
        <w:right w:val="none" w:sz="0" w:space="0" w:color="auto"/>
      </w:divBdr>
    </w:div>
    <w:div w:id="1920554870">
      <w:bodyDiv w:val="1"/>
      <w:marLeft w:val="0"/>
      <w:marRight w:val="0"/>
      <w:marTop w:val="0"/>
      <w:marBottom w:val="0"/>
      <w:divBdr>
        <w:top w:val="none" w:sz="0" w:space="0" w:color="auto"/>
        <w:left w:val="none" w:sz="0" w:space="0" w:color="auto"/>
        <w:bottom w:val="none" w:sz="0" w:space="0" w:color="auto"/>
        <w:right w:val="none" w:sz="0" w:space="0" w:color="auto"/>
      </w:divBdr>
    </w:div>
    <w:div w:id="198345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F6AB3BE82A8B54495DE8BE37CC0E380" ma:contentTypeVersion="6" ma:contentTypeDescription="新しいドキュメントを作成します。" ma:contentTypeScope="" ma:versionID="27fbd9cbce26e36edc683bd693715520">
  <xsd:schema xmlns:xsd="http://www.w3.org/2001/XMLSchema" xmlns:xs="http://www.w3.org/2001/XMLSchema" xmlns:p="http://schemas.microsoft.com/office/2006/metadata/properties" xmlns:ns3="f510510b-3495-47f1-a9d4-91a0134d5906" targetNamespace="http://schemas.microsoft.com/office/2006/metadata/properties" ma:root="true" ma:fieldsID="6845f4cc303c8fc085a8ac32f5f84469" ns3:_="">
    <xsd:import namespace="f510510b-3495-47f1-a9d4-91a0134d590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0510b-3495-47f1-a9d4-91a0134d590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10510b-3495-47f1-a9d4-91a0134d5906" xsi:nil="true"/>
  </documentManagement>
</p:properties>
</file>

<file path=customXml/itemProps1.xml><?xml version="1.0" encoding="utf-8"?>
<ds:datastoreItem xmlns:ds="http://schemas.openxmlformats.org/officeDocument/2006/customXml" ds:itemID="{3FD96430-0A84-4E90-AFAF-D38428B3F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0510b-3495-47f1-a9d4-91a0134d5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92B95F-CF4F-41FB-A1E9-0AF6D47B6E40}">
  <ds:schemaRefs>
    <ds:schemaRef ds:uri="http://schemas.microsoft.com/sharepoint/v3/contenttype/forms"/>
  </ds:schemaRefs>
</ds:datastoreItem>
</file>

<file path=customXml/itemProps3.xml><?xml version="1.0" encoding="utf-8"?>
<ds:datastoreItem xmlns:ds="http://schemas.openxmlformats.org/officeDocument/2006/customXml" ds:itemID="{E8A7834A-3451-4A2D-9BAC-238F858354CA}">
  <ds:schemaRefs>
    <ds:schemaRef ds:uri="http://schemas.microsoft.com/office/2006/documentManagement/types"/>
    <ds:schemaRef ds:uri="http://purl.org/dc/terms/"/>
    <ds:schemaRef ds:uri="http://purl.org/dc/dcmitype/"/>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www.w3.org/XML/1998/namespace"/>
    <ds:schemaRef ds:uri="f510510b-3495-47f1-a9d4-91a0134d590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318</Words>
  <Characters>1819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宮城　琉徳</dc:creator>
  <cp:keywords/>
  <dc:description/>
  <cp:lastModifiedBy>宮城　琉徳</cp:lastModifiedBy>
  <cp:revision>2</cp:revision>
  <cp:lastPrinted>2025-02-08T09:54:00Z</cp:lastPrinted>
  <dcterms:created xsi:type="dcterms:W3CDTF">2025-02-08T09:57:00Z</dcterms:created>
  <dcterms:modified xsi:type="dcterms:W3CDTF">2025-02-08T09:57:00Z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0x0101008F6AB3BE82A8B54495DE8BE37CC0E380</vt:lpwstr>
  </property>
</Properties>
</file>